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rPr>
          <w:rFonts w:hint="eastAsia" w:ascii="Times New Roman" w:hAnsi="方正小标宋简体" w:eastAsia="方正小标宋简体"/>
          <w:color w:val="000000"/>
          <w:kern w:val="0"/>
          <w:sz w:val="44"/>
          <w:szCs w:val="44"/>
          <w:shd w:val="clear" w:color="auto" w:fill="FFFFFF"/>
        </w:rPr>
      </w:pPr>
    </w:p>
    <w:p>
      <w:pPr>
        <w:widowControl/>
        <w:shd w:val="clear" w:color="auto"/>
        <w:spacing w:line="580" w:lineRule="atLeast"/>
        <w:jc w:val="center"/>
        <w:rPr>
          <w:rFonts w:ascii="Times New Roman" w:hAnsi="Times New Roman" w:eastAsia="方正小标宋简体"/>
          <w:color w:val="000000"/>
          <w:sz w:val="44"/>
          <w:szCs w:val="44"/>
        </w:rPr>
      </w:pPr>
      <w:r>
        <w:rPr>
          <w:rFonts w:hint="eastAsia" w:ascii="Times New Roman" w:hAnsi="方正小标宋简体" w:eastAsia="方正小标宋简体"/>
          <w:color w:val="000000"/>
          <w:kern w:val="0"/>
          <w:sz w:val="44"/>
          <w:szCs w:val="44"/>
          <w:shd w:val="clear" w:color="auto" w:fill="FFFFFF"/>
        </w:rPr>
        <w:t>旺苍县人民法院</w:t>
      </w:r>
    </w:p>
    <w:p>
      <w:pPr>
        <w:widowControl/>
        <w:shd w:val="clear" w:color="auto"/>
        <w:spacing w:line="580" w:lineRule="atLeast"/>
        <w:jc w:val="center"/>
        <w:rPr>
          <w:rFonts w:hint="eastAsia" w:ascii="Times New Roman" w:hAnsi="方正小标宋简体" w:eastAsia="方正小标宋简体"/>
          <w:color w:val="000000"/>
          <w:kern w:val="0"/>
          <w:sz w:val="44"/>
          <w:szCs w:val="44"/>
          <w:shd w:val="clear" w:color="auto" w:fill="FFFFFF"/>
        </w:rPr>
        <w:sectPr>
          <w:footerReference r:id="rId3" w:type="default"/>
          <w:pgSz w:w="11906" w:h="16838"/>
          <w:pgMar w:top="2098" w:right="1474" w:bottom="1984" w:left="1587" w:header="720" w:footer="1559" w:gutter="0"/>
          <w:cols w:space="720" w:num="1"/>
          <w:docGrid w:type="lines" w:linePitch="312" w:charSpace="0"/>
        </w:sectPr>
      </w:pPr>
      <w:r>
        <w:rPr>
          <w:rFonts w:ascii="Times New Roman" w:hAnsi="Times New Roman" w:eastAsia="方正小标宋简体"/>
          <w:color w:val="000000"/>
          <w:kern w:val="0"/>
          <w:sz w:val="44"/>
          <w:szCs w:val="44"/>
          <w:shd w:val="clear" w:color="auto" w:fill="FFFFFF"/>
        </w:rPr>
        <w:t>2024</w:t>
      </w:r>
      <w:r>
        <w:rPr>
          <w:rFonts w:hint="eastAsia" w:ascii="Times New Roman" w:hAnsi="方正小标宋简体" w:eastAsia="方正小标宋简体"/>
          <w:color w:val="000000"/>
          <w:kern w:val="0"/>
          <w:sz w:val="44"/>
          <w:szCs w:val="44"/>
          <w:shd w:val="clear" w:color="auto" w:fill="FFFFFF"/>
        </w:rPr>
        <w:t>年部门预算编制说明</w:t>
      </w:r>
    </w:p>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8"/>
        <w:tabs>
          <w:tab w:val="right" w:leader="dot" w:pos="8845"/>
        </w:tabs>
        <w:spacing w:line="360" w:lineRule="auto"/>
        <w:rPr>
          <w:b/>
        </w:rPr>
      </w:pPr>
      <w:r>
        <w:rPr>
          <w:rFonts w:hint="eastAsia" w:ascii="Times New Roman" w:hAnsi="方正小标宋简体" w:eastAsia="方正小标宋简体"/>
          <w:color w:val="000000"/>
          <w:kern w:val="0"/>
          <w:sz w:val="44"/>
          <w:szCs w:val="44"/>
          <w:shd w:val="clear" w:color="auto" w:fill="FFFFFF"/>
        </w:rPr>
        <w:fldChar w:fldCharType="begin"/>
      </w:r>
      <w:r>
        <w:rPr>
          <w:rFonts w:hint="eastAsia" w:ascii="Times New Roman" w:hAnsi="方正小标宋简体" w:eastAsia="方正小标宋简体"/>
          <w:color w:val="000000"/>
          <w:kern w:val="0"/>
          <w:sz w:val="44"/>
          <w:szCs w:val="44"/>
          <w:shd w:val="clear" w:color="auto" w:fill="FFFFFF"/>
        </w:rPr>
        <w:instrText xml:space="preserve">TOC \o "1-2" \h \u </w:instrText>
      </w:r>
      <w:r>
        <w:rPr>
          <w:rFonts w:hint="eastAsia" w:ascii="Times New Roman" w:hAnsi="方正小标宋简体" w:eastAsia="方正小标宋简体"/>
          <w:color w:val="000000"/>
          <w:kern w:val="0"/>
          <w:sz w:val="44"/>
          <w:szCs w:val="44"/>
          <w:shd w:val="clear" w:color="auto" w:fill="FFFFFF"/>
        </w:rPr>
        <w:fldChar w:fldCharType="separate"/>
      </w: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_Toc18794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一、基本职能及主要工作</w:t>
      </w:r>
      <w:bookmarkStart w:id="25" w:name="_GoBack"/>
      <w:bookmarkEnd w:id="25"/>
      <w:r>
        <w:rPr>
          <w:b/>
        </w:rPr>
        <w:tab/>
      </w:r>
      <w:r>
        <w:rPr>
          <w:b/>
        </w:rPr>
        <w:fldChar w:fldCharType="begin"/>
      </w:r>
      <w:r>
        <w:rPr>
          <w:b/>
        </w:rPr>
        <w:instrText xml:space="preserve"> PAGEREF _Toc18794 \h </w:instrText>
      </w:r>
      <w:r>
        <w:rPr>
          <w:b/>
        </w:rPr>
        <w:fldChar w:fldCharType="separate"/>
      </w:r>
      <w:r>
        <w:rPr>
          <w:b/>
        </w:rPr>
        <w:t>3</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_Toc7371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（一）旺苍县人民法院职能简介</w:t>
      </w:r>
      <w:r>
        <w:tab/>
      </w:r>
      <w:r>
        <w:fldChar w:fldCharType="begin"/>
      </w:r>
      <w:r>
        <w:instrText xml:space="preserve"> PAGEREF _Toc7371 \h </w:instrText>
      </w:r>
      <w:r>
        <w:fldChar w:fldCharType="separate"/>
      </w:r>
      <w:r>
        <w:t>3</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_Toc23371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（二）旺苍县人民法院</w:t>
      </w:r>
      <w:r>
        <w:rPr>
          <w:rFonts w:ascii="Times New Roman" w:hAnsi="Times New Roman" w:eastAsia="楷体_GB2312"/>
          <w:szCs w:val="32"/>
        </w:rPr>
        <w:t>2024</w:t>
      </w:r>
      <w:r>
        <w:rPr>
          <w:rFonts w:hint="eastAsia" w:ascii="Times New Roman" w:hAnsi="楷体_GB2312" w:eastAsia="楷体_GB2312"/>
          <w:szCs w:val="32"/>
        </w:rPr>
        <w:t>年重点工作</w:t>
      </w:r>
      <w:r>
        <w:tab/>
      </w:r>
      <w:r>
        <w:fldChar w:fldCharType="begin"/>
      </w:r>
      <w:r>
        <w:instrText xml:space="preserve"> PAGEREF _Toc23371 \h </w:instrText>
      </w:r>
      <w:r>
        <w:fldChar w:fldCharType="separate"/>
      </w:r>
      <w:r>
        <w:t>4</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_Toc26897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二、部门预算单位构成</w:t>
      </w:r>
      <w:r>
        <w:rPr>
          <w:b/>
        </w:rPr>
        <w:tab/>
      </w:r>
      <w:r>
        <w:rPr>
          <w:b/>
        </w:rPr>
        <w:fldChar w:fldCharType="begin"/>
      </w:r>
      <w:r>
        <w:rPr>
          <w:b/>
        </w:rPr>
        <w:instrText xml:space="preserve"> PAGEREF _Toc26897 \h </w:instrText>
      </w:r>
      <w:r>
        <w:rPr>
          <w:b/>
        </w:rPr>
        <w:fldChar w:fldCharType="separate"/>
      </w:r>
      <w:r>
        <w:rPr>
          <w:b/>
        </w:rPr>
        <w:t>5</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_Toc19036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三、收支预算情况说明</w:t>
      </w:r>
      <w:r>
        <w:rPr>
          <w:b/>
        </w:rPr>
        <w:tab/>
      </w:r>
      <w:r>
        <w:rPr>
          <w:b/>
        </w:rPr>
        <w:fldChar w:fldCharType="begin"/>
      </w:r>
      <w:r>
        <w:rPr>
          <w:b/>
        </w:rPr>
        <w:instrText xml:space="preserve"> PAGEREF _Toc19036 \h </w:instrText>
      </w:r>
      <w:r>
        <w:rPr>
          <w:b/>
        </w:rPr>
        <w:fldChar w:fldCharType="separate"/>
      </w:r>
      <w:r>
        <w:rPr>
          <w:b/>
        </w:rPr>
        <w:t>5</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_Toc4951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（一）收入预算情况</w:t>
      </w:r>
      <w:r>
        <w:tab/>
      </w:r>
      <w:r>
        <w:fldChar w:fldCharType="begin"/>
      </w:r>
      <w:r>
        <w:instrText xml:space="preserve"> PAGEREF _Toc4951 \h </w:instrText>
      </w:r>
      <w:r>
        <w:fldChar w:fldCharType="separate"/>
      </w:r>
      <w:r>
        <w:t>6</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_Toc3006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（二）支出预算情况</w:t>
      </w:r>
      <w:r>
        <w:tab/>
      </w:r>
      <w:r>
        <w:fldChar w:fldCharType="begin"/>
      </w:r>
      <w:r>
        <w:instrText xml:space="preserve"> PAGEREF _Toc3006 \h </w:instrText>
      </w:r>
      <w:r>
        <w:fldChar w:fldCharType="separate"/>
      </w:r>
      <w:r>
        <w:t>6</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_Toc6835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四、财政拨款收支预算情况说明</w:t>
      </w:r>
      <w:r>
        <w:rPr>
          <w:b/>
        </w:rPr>
        <w:tab/>
      </w:r>
      <w:r>
        <w:rPr>
          <w:b/>
        </w:rPr>
        <w:fldChar w:fldCharType="begin"/>
      </w:r>
      <w:r>
        <w:rPr>
          <w:b/>
        </w:rPr>
        <w:instrText xml:space="preserve"> PAGEREF _Toc6835 \h </w:instrText>
      </w:r>
      <w:r>
        <w:rPr>
          <w:b/>
        </w:rPr>
        <w:fldChar w:fldCharType="separate"/>
      </w:r>
      <w:r>
        <w:rPr>
          <w:b/>
        </w:rPr>
        <w:t>6</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_Toc28353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五、一般公共预算当年拨款情况说明</w:t>
      </w:r>
      <w:r>
        <w:rPr>
          <w:b/>
        </w:rPr>
        <w:tab/>
      </w:r>
      <w:r>
        <w:rPr>
          <w:b/>
        </w:rPr>
        <w:fldChar w:fldCharType="begin"/>
      </w:r>
      <w:r>
        <w:rPr>
          <w:b/>
        </w:rPr>
        <w:instrText xml:space="preserve"> PAGEREF _Toc28353 \h </w:instrText>
      </w:r>
      <w:r>
        <w:rPr>
          <w:b/>
        </w:rPr>
        <w:fldChar w:fldCharType="separate"/>
      </w:r>
      <w:r>
        <w:rPr>
          <w:b/>
        </w:rPr>
        <w:t>6</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_Toc29568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（一）一般公共预算当年拨款规模变化情况</w:t>
      </w:r>
      <w:r>
        <w:tab/>
      </w:r>
      <w:r>
        <w:fldChar w:fldCharType="begin"/>
      </w:r>
      <w:r>
        <w:instrText xml:space="preserve"> PAGEREF _Toc29568 \h </w:instrText>
      </w:r>
      <w:r>
        <w:fldChar w:fldCharType="separate"/>
      </w:r>
      <w:r>
        <w:t>6</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_Toc6010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（二）一般公共预算当年拨款结构情况</w:t>
      </w:r>
      <w:r>
        <w:tab/>
      </w:r>
      <w:r>
        <w:fldChar w:fldCharType="begin"/>
      </w:r>
      <w:r>
        <w:instrText xml:space="preserve"> PAGEREF _Toc6010 \h </w:instrText>
      </w:r>
      <w:r>
        <w:fldChar w:fldCharType="separate"/>
      </w:r>
      <w:r>
        <w:t>6</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_Toc13851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（三）一般公共预算当年拨款具体使用情况</w:t>
      </w:r>
      <w:r>
        <w:tab/>
      </w:r>
      <w:r>
        <w:fldChar w:fldCharType="begin"/>
      </w:r>
      <w:r>
        <w:instrText xml:space="preserve"> PAGEREF _Toc13851 \h </w:instrText>
      </w:r>
      <w:r>
        <w:fldChar w:fldCharType="separate"/>
      </w:r>
      <w:r>
        <w:t>7</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_Toc5890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六、一般公共预算基本支出情况说明</w:t>
      </w:r>
      <w:r>
        <w:rPr>
          <w:b/>
        </w:rPr>
        <w:tab/>
      </w:r>
      <w:r>
        <w:rPr>
          <w:b/>
        </w:rPr>
        <w:fldChar w:fldCharType="begin"/>
      </w:r>
      <w:r>
        <w:rPr>
          <w:b/>
        </w:rPr>
        <w:instrText xml:space="preserve"> PAGEREF _Toc5890 \h </w:instrText>
      </w:r>
      <w:r>
        <w:rPr>
          <w:b/>
        </w:rPr>
        <w:fldChar w:fldCharType="separate"/>
      </w:r>
      <w:r>
        <w:rPr>
          <w:b/>
        </w:rPr>
        <w:t>7</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_Toc26778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七、</w:t>
      </w:r>
      <w:r>
        <w:rPr>
          <w:rFonts w:ascii="Times New Roman" w:hAnsi="Times New Roman" w:eastAsia="黑体"/>
          <w:b/>
          <w:szCs w:val="32"/>
        </w:rPr>
        <w:t>“</w:t>
      </w:r>
      <w:r>
        <w:rPr>
          <w:rFonts w:hint="eastAsia" w:ascii="Times New Roman" w:hAnsi="黑体" w:eastAsia="黑体"/>
          <w:b/>
          <w:szCs w:val="32"/>
        </w:rPr>
        <w:t>三公</w:t>
      </w:r>
      <w:r>
        <w:rPr>
          <w:rFonts w:ascii="Times New Roman" w:hAnsi="Times New Roman" w:eastAsia="黑体"/>
          <w:b/>
          <w:szCs w:val="32"/>
        </w:rPr>
        <w:t>”</w:t>
      </w:r>
      <w:r>
        <w:rPr>
          <w:rFonts w:hint="eastAsia" w:ascii="Times New Roman" w:hAnsi="黑体" w:eastAsia="黑体"/>
          <w:b/>
          <w:szCs w:val="32"/>
        </w:rPr>
        <w:t>经费财政拨款预算安排情况说明</w:t>
      </w:r>
      <w:r>
        <w:rPr>
          <w:b/>
        </w:rPr>
        <w:tab/>
      </w:r>
      <w:r>
        <w:rPr>
          <w:b/>
        </w:rPr>
        <w:fldChar w:fldCharType="begin"/>
      </w:r>
      <w:r>
        <w:rPr>
          <w:b/>
        </w:rPr>
        <w:instrText xml:space="preserve"> PAGEREF _Toc26778 \h </w:instrText>
      </w:r>
      <w:r>
        <w:rPr>
          <w:b/>
        </w:rPr>
        <w:fldChar w:fldCharType="separate"/>
      </w:r>
      <w:r>
        <w:rPr>
          <w:b/>
        </w:rPr>
        <w:t>8</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_Toc22230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（一）公务接待费</w:t>
      </w:r>
      <w:r>
        <w:tab/>
      </w:r>
      <w:r>
        <w:fldChar w:fldCharType="begin"/>
      </w:r>
      <w:r>
        <w:instrText xml:space="preserve"> PAGEREF _Toc22230 \h </w:instrText>
      </w:r>
      <w:r>
        <w:fldChar w:fldCharType="separate"/>
      </w:r>
      <w:r>
        <w:t>8</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_Toc25419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Times New Roman" w:eastAsia="楷体_GB2312" w:cs="Times New Roman"/>
          <w:szCs w:val="32"/>
        </w:rPr>
        <w:t xml:space="preserve">（二） </w:t>
      </w:r>
      <w:r>
        <w:rPr>
          <w:rFonts w:hint="eastAsia" w:ascii="Times New Roman" w:hAnsi="楷体_GB2312" w:eastAsia="楷体_GB2312"/>
          <w:szCs w:val="32"/>
        </w:rPr>
        <w:t>公务用车购置及运行维护费</w:t>
      </w:r>
      <w:r>
        <w:tab/>
      </w:r>
      <w:r>
        <w:fldChar w:fldCharType="begin"/>
      </w:r>
      <w:r>
        <w:instrText xml:space="preserve"> PAGEREF _Toc25419 \h </w:instrText>
      </w:r>
      <w:r>
        <w:fldChar w:fldCharType="separate"/>
      </w:r>
      <w:r>
        <w:t>8</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_Toc30689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仿宋_GB2312" w:eastAsia="仿宋_GB2312"/>
          <w:szCs w:val="32"/>
        </w:rPr>
        <w:t>（</w:t>
      </w:r>
      <w:r>
        <w:rPr>
          <w:rFonts w:hint="eastAsia" w:ascii="Times New Roman" w:hAnsi="楷体_GB2312" w:eastAsia="楷体_GB2312"/>
          <w:szCs w:val="32"/>
        </w:rPr>
        <w:t>三）因公出国（境）经费</w:t>
      </w:r>
      <w:r>
        <w:tab/>
      </w:r>
      <w:r>
        <w:fldChar w:fldCharType="begin"/>
      </w:r>
      <w:r>
        <w:instrText xml:space="preserve"> PAGEREF _Toc30689 \h </w:instrText>
      </w:r>
      <w:r>
        <w:fldChar w:fldCharType="separate"/>
      </w:r>
      <w:r>
        <w:t>9</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_Toc3568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八、政府性基金预算支出情况说明</w:t>
      </w:r>
      <w:r>
        <w:rPr>
          <w:b/>
        </w:rPr>
        <w:tab/>
      </w:r>
      <w:r>
        <w:rPr>
          <w:b/>
        </w:rPr>
        <w:fldChar w:fldCharType="begin"/>
      </w:r>
      <w:r>
        <w:rPr>
          <w:b/>
        </w:rPr>
        <w:instrText xml:space="preserve"> PAGEREF _Toc3568 \h </w:instrText>
      </w:r>
      <w:r>
        <w:rPr>
          <w:b/>
        </w:rPr>
        <w:fldChar w:fldCharType="separate"/>
      </w:r>
      <w:r>
        <w:rPr>
          <w:b/>
        </w:rPr>
        <w:t>9</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_Toc2878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九、国有资本经营预算支出情况说明</w:t>
      </w:r>
      <w:r>
        <w:rPr>
          <w:b/>
        </w:rPr>
        <w:tab/>
      </w:r>
      <w:r>
        <w:rPr>
          <w:b/>
        </w:rPr>
        <w:fldChar w:fldCharType="begin"/>
      </w:r>
      <w:r>
        <w:rPr>
          <w:b/>
        </w:rPr>
        <w:instrText xml:space="preserve"> PAGEREF _Toc2878 \h </w:instrText>
      </w:r>
      <w:r>
        <w:rPr>
          <w:b/>
        </w:rPr>
        <w:fldChar w:fldCharType="separate"/>
      </w:r>
      <w:r>
        <w:rPr>
          <w:b/>
        </w:rPr>
        <w:t>9</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_Toc25621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十、其他重要事项的情况说明</w:t>
      </w:r>
      <w:r>
        <w:rPr>
          <w:b/>
        </w:rPr>
        <w:tab/>
      </w:r>
      <w:r>
        <w:rPr>
          <w:b/>
        </w:rPr>
        <w:fldChar w:fldCharType="begin"/>
      </w:r>
      <w:r>
        <w:rPr>
          <w:b/>
        </w:rPr>
        <w:instrText xml:space="preserve"> PAGEREF _Toc25621 \h </w:instrText>
      </w:r>
      <w:r>
        <w:rPr>
          <w:b/>
        </w:rPr>
        <w:fldChar w:fldCharType="separate"/>
      </w:r>
      <w:r>
        <w:rPr>
          <w:b/>
        </w:rPr>
        <w:t>9</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_Toc31162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（一）机关运行经费</w:t>
      </w:r>
      <w:r>
        <w:tab/>
      </w:r>
      <w:r>
        <w:fldChar w:fldCharType="begin"/>
      </w:r>
      <w:r>
        <w:instrText xml:space="preserve"> PAGEREF _Toc31162 \h </w:instrText>
      </w:r>
      <w:r>
        <w:fldChar w:fldCharType="separate"/>
      </w:r>
      <w:r>
        <w:t>9</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_Toc24829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（二）政府采购情况</w:t>
      </w:r>
      <w:r>
        <w:tab/>
      </w:r>
      <w:r>
        <w:fldChar w:fldCharType="begin"/>
      </w:r>
      <w:r>
        <w:instrText xml:space="preserve"> PAGEREF _Toc24829 \h </w:instrText>
      </w:r>
      <w:r>
        <w:fldChar w:fldCharType="separate"/>
      </w:r>
      <w:r>
        <w:t>9</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_Toc22673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（三）国有资产占有使用情况</w:t>
      </w:r>
      <w:r>
        <w:tab/>
      </w:r>
      <w:r>
        <w:fldChar w:fldCharType="begin"/>
      </w:r>
      <w:r>
        <w:instrText xml:space="preserve"> PAGEREF _Toc22673 \h </w:instrText>
      </w:r>
      <w:r>
        <w:fldChar w:fldCharType="separate"/>
      </w:r>
      <w:r>
        <w:t>9</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9"/>
        <w:tabs>
          <w:tab w:val="right" w:leader="dot" w:pos="8845"/>
        </w:tabs>
        <w:spacing w:line="360" w:lineRule="auto"/>
      </w:pPr>
      <w:r>
        <w:rPr>
          <w:rFonts w:hint="eastAsia" w:ascii="Times New Roman" w:hAnsi="方正小标宋简体" w:eastAsia="方正小标宋简体"/>
          <w:color w:val="000000"/>
          <w:kern w:val="0"/>
          <w:szCs w:val="44"/>
          <w:shd w:val="clear" w:color="auto" w:fill="FFFFFF"/>
        </w:rPr>
        <w:fldChar w:fldCharType="begin"/>
      </w:r>
      <w:r>
        <w:rPr>
          <w:rFonts w:hint="eastAsia" w:ascii="Times New Roman" w:hAnsi="方正小标宋简体" w:eastAsia="方正小标宋简体"/>
          <w:kern w:val="0"/>
          <w:szCs w:val="44"/>
          <w:shd w:val="clear" w:color="auto" w:fill="FFFFFF"/>
        </w:rPr>
        <w:instrText xml:space="preserve"> HYPERLINK \l _Toc14316 </w:instrText>
      </w:r>
      <w:r>
        <w:rPr>
          <w:rFonts w:hint="eastAsia" w:ascii="Times New Roman" w:hAnsi="方正小标宋简体" w:eastAsia="方正小标宋简体"/>
          <w:kern w:val="0"/>
          <w:szCs w:val="44"/>
          <w:shd w:val="clear" w:color="auto" w:fill="FFFFFF"/>
        </w:rPr>
        <w:fldChar w:fldCharType="separate"/>
      </w:r>
      <w:r>
        <w:rPr>
          <w:rFonts w:hint="eastAsia" w:ascii="Times New Roman" w:hAnsi="楷体_GB2312" w:eastAsia="楷体_GB2312"/>
          <w:szCs w:val="32"/>
        </w:rPr>
        <w:t>（四）绩效目标设置情况</w:t>
      </w:r>
      <w:r>
        <w:tab/>
      </w:r>
      <w:r>
        <w:fldChar w:fldCharType="begin"/>
      </w:r>
      <w:r>
        <w:instrText xml:space="preserve"> PAGEREF _Toc14316 \h </w:instrText>
      </w:r>
      <w:r>
        <w:fldChar w:fldCharType="separate"/>
      </w:r>
      <w:r>
        <w:t>10</w:t>
      </w:r>
      <w:r>
        <w:fldChar w:fldCharType="end"/>
      </w:r>
      <w:r>
        <w:rPr>
          <w:rFonts w:hint="eastAsia" w:ascii="Times New Roman" w:hAnsi="方正小标宋简体" w:eastAsia="方正小标宋简体"/>
          <w:color w:val="000000"/>
          <w:kern w:val="0"/>
          <w:szCs w:val="44"/>
          <w:shd w:val="clear" w:color="auto" w:fill="FFFFFF"/>
        </w:rPr>
        <w:fldChar w:fldCharType="end"/>
      </w:r>
    </w:p>
    <w:p>
      <w:pPr>
        <w:pStyle w:val="18"/>
        <w:tabs>
          <w:tab w:val="right" w:leader="dot" w:pos="8845"/>
        </w:tabs>
        <w:spacing w:line="360" w:lineRule="auto"/>
        <w:rPr>
          <w:b/>
        </w:rPr>
      </w:pPr>
      <w:r>
        <w:rPr>
          <w:rFonts w:hint="eastAsia" w:ascii="Times New Roman" w:hAnsi="方正小标宋简体" w:eastAsia="方正小标宋简体"/>
          <w:b/>
          <w:color w:val="000000"/>
          <w:kern w:val="0"/>
          <w:szCs w:val="44"/>
          <w:shd w:val="clear" w:color="auto" w:fill="FFFFFF"/>
        </w:rPr>
        <w:fldChar w:fldCharType="begin"/>
      </w:r>
      <w:r>
        <w:rPr>
          <w:rFonts w:hint="eastAsia" w:ascii="Times New Roman" w:hAnsi="方正小标宋简体" w:eastAsia="方正小标宋简体"/>
          <w:b/>
          <w:kern w:val="0"/>
          <w:szCs w:val="44"/>
          <w:shd w:val="clear" w:color="auto" w:fill="FFFFFF"/>
        </w:rPr>
        <w:instrText xml:space="preserve"> HYPERLINK \l _Toc7432 </w:instrText>
      </w:r>
      <w:r>
        <w:rPr>
          <w:rFonts w:hint="eastAsia" w:ascii="Times New Roman" w:hAnsi="方正小标宋简体" w:eastAsia="方正小标宋简体"/>
          <w:b/>
          <w:kern w:val="0"/>
          <w:szCs w:val="44"/>
          <w:shd w:val="clear" w:color="auto" w:fill="FFFFFF"/>
        </w:rPr>
        <w:fldChar w:fldCharType="separate"/>
      </w:r>
      <w:r>
        <w:rPr>
          <w:rFonts w:hint="eastAsia" w:ascii="Times New Roman" w:hAnsi="黑体" w:eastAsia="黑体"/>
          <w:b/>
          <w:szCs w:val="32"/>
        </w:rPr>
        <w:t>十一、名词解释</w:t>
      </w:r>
      <w:r>
        <w:rPr>
          <w:b/>
        </w:rPr>
        <w:tab/>
      </w:r>
      <w:r>
        <w:rPr>
          <w:b/>
        </w:rPr>
        <w:fldChar w:fldCharType="begin"/>
      </w:r>
      <w:r>
        <w:rPr>
          <w:b/>
        </w:rPr>
        <w:instrText xml:space="preserve"> PAGEREF _Toc7432 \h </w:instrText>
      </w:r>
      <w:r>
        <w:rPr>
          <w:b/>
        </w:rPr>
        <w:fldChar w:fldCharType="separate"/>
      </w:r>
      <w:r>
        <w:rPr>
          <w:b/>
        </w:rPr>
        <w:t>10</w:t>
      </w:r>
      <w:r>
        <w:rPr>
          <w:b/>
        </w:rPr>
        <w:fldChar w:fldCharType="end"/>
      </w:r>
      <w:r>
        <w:rPr>
          <w:rFonts w:hint="eastAsia" w:ascii="Times New Roman" w:hAnsi="方正小标宋简体" w:eastAsia="方正小标宋简体"/>
          <w:b/>
          <w:color w:val="000000"/>
          <w:kern w:val="0"/>
          <w:szCs w:val="44"/>
          <w:shd w:val="clear" w:color="auto" w:fill="FFFFFF"/>
        </w:rPr>
        <w:fldChar w:fldCharType="end"/>
      </w:r>
    </w:p>
    <w:p>
      <w:pPr>
        <w:widowControl/>
        <w:shd w:val="clear" w:color="auto"/>
        <w:spacing w:line="360" w:lineRule="auto"/>
        <w:jc w:val="both"/>
        <w:rPr>
          <w:rFonts w:hint="eastAsia" w:ascii="Times New Roman" w:hAnsi="方正小标宋简体" w:eastAsia="方正小标宋简体"/>
          <w:color w:val="000000"/>
          <w:kern w:val="0"/>
          <w:sz w:val="44"/>
          <w:szCs w:val="44"/>
          <w:shd w:val="clear" w:color="auto" w:fill="FFFFFF"/>
        </w:rPr>
      </w:pPr>
      <w:r>
        <w:rPr>
          <w:rFonts w:hint="eastAsia" w:ascii="Times New Roman" w:hAnsi="方正小标宋简体" w:eastAsia="方正小标宋简体"/>
          <w:b/>
          <w:color w:val="000000"/>
          <w:kern w:val="0"/>
          <w:szCs w:val="44"/>
          <w:shd w:val="clear" w:color="auto" w:fill="FFFFFF"/>
        </w:rPr>
        <w:fldChar w:fldCharType="end"/>
      </w:r>
    </w:p>
    <w:p>
      <w:pPr>
        <w:pStyle w:val="7"/>
        <w:widowControl/>
        <w:shd w:val="clear" w:color="auto"/>
        <w:spacing w:before="130" w:line="580" w:lineRule="atLeast"/>
        <w:rPr>
          <w:rFonts w:hint="eastAsia" w:ascii="Times New Roman" w:hAnsi="黑体" w:eastAsia="黑体"/>
          <w:sz w:val="32"/>
          <w:szCs w:val="32"/>
        </w:rPr>
      </w:pPr>
      <w:r>
        <w:rPr>
          <w:rFonts w:ascii="Times New Roman" w:hAnsi="Times New Roman"/>
          <w:b/>
          <w:color w:val="000000"/>
          <w:sz w:val="28"/>
          <w:szCs w:val="28"/>
          <w:shd w:val="clear" w:color="auto" w:fill="FFFFFF"/>
        </w:rPr>
        <w:t xml:space="preserve">   </w:t>
      </w:r>
    </w:p>
    <w:p>
      <w:pPr>
        <w:shd w:val="clear"/>
        <w:spacing w:line="576" w:lineRule="exact"/>
        <w:ind w:firstLine="640" w:firstLineChars="200"/>
        <w:outlineLvl w:val="0"/>
        <w:rPr>
          <w:rFonts w:ascii="Times New Roman" w:hAnsi="Times New Roman" w:eastAsia="黑体"/>
          <w:sz w:val="32"/>
          <w:szCs w:val="32"/>
        </w:rPr>
      </w:pPr>
      <w:bookmarkStart w:id="0" w:name="_Toc18794"/>
      <w:r>
        <w:rPr>
          <w:rFonts w:hint="eastAsia" w:ascii="Times New Roman" w:hAnsi="黑体" w:eastAsia="黑体"/>
          <w:sz w:val="32"/>
          <w:szCs w:val="32"/>
        </w:rPr>
        <w:t>一、基本职能及主要工作</w:t>
      </w:r>
      <w:bookmarkEnd w:id="0"/>
    </w:p>
    <w:p>
      <w:pPr>
        <w:shd w:val="clear"/>
        <w:spacing w:line="576" w:lineRule="exact"/>
        <w:ind w:firstLine="640" w:firstLineChars="200"/>
        <w:outlineLvl w:val="1"/>
        <w:rPr>
          <w:rFonts w:ascii="Times New Roman" w:hAnsi="Times New Roman" w:eastAsia="楷体_GB2312"/>
          <w:sz w:val="32"/>
          <w:szCs w:val="32"/>
        </w:rPr>
      </w:pPr>
      <w:bookmarkStart w:id="1" w:name="_Toc7371"/>
      <w:r>
        <w:rPr>
          <w:rFonts w:hint="eastAsia" w:ascii="Times New Roman" w:hAnsi="楷体_GB2312" w:eastAsia="楷体_GB2312"/>
          <w:sz w:val="32"/>
          <w:szCs w:val="32"/>
        </w:rPr>
        <w:t>（一）旺苍县人民法院职能简介</w:t>
      </w:r>
      <w:bookmarkEnd w:id="1"/>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旺苍县人民法院是国家审判机关，在本辖区内依照宪法和法律规定独立行使审判权，对旺苍县人民代表大会及其常务委员会负责并报告工作。主要职责如下：</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1</w:t>
      </w:r>
      <w:r>
        <w:rPr>
          <w:rFonts w:hint="eastAsia" w:ascii="Times New Roman" w:eastAsia="仿宋_GB2312"/>
          <w:sz w:val="32"/>
          <w:szCs w:val="32"/>
        </w:rPr>
        <w:t>）依法审判法律规定由本院管辖的刑事、民事、行政一审案件。</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2</w:t>
      </w:r>
      <w:r>
        <w:rPr>
          <w:rFonts w:hint="eastAsia" w:ascii="Times New Roman" w:eastAsia="仿宋_GB2312"/>
          <w:sz w:val="32"/>
          <w:szCs w:val="32"/>
        </w:rPr>
        <w:t>）审理上级人民法院指令再审的案件，复查审理本院一审案件已发生法律效力后的申诉和再审案件。</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3</w:t>
      </w:r>
      <w:r>
        <w:rPr>
          <w:rFonts w:hint="eastAsia" w:ascii="Times New Roman" w:eastAsia="仿宋_GB2312"/>
          <w:sz w:val="32"/>
          <w:szCs w:val="32"/>
        </w:rPr>
        <w:t>）依法审判由检察机关按审判监督程序提起抗诉的案件。</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4</w:t>
      </w:r>
      <w:r>
        <w:rPr>
          <w:rFonts w:hint="eastAsia" w:ascii="Times New Roman" w:eastAsia="仿宋_GB2312"/>
          <w:sz w:val="32"/>
          <w:szCs w:val="32"/>
        </w:rPr>
        <w:t>）依法行政司法执行权和司法决定权。</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5</w:t>
      </w:r>
      <w:r>
        <w:rPr>
          <w:rFonts w:hint="eastAsia" w:ascii="Times New Roman" w:eastAsia="仿宋_GB2312"/>
          <w:sz w:val="32"/>
          <w:szCs w:val="32"/>
        </w:rPr>
        <w:t>）指导基层人民调解委员会工作。</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6</w:t>
      </w:r>
      <w:r>
        <w:rPr>
          <w:rFonts w:hint="eastAsia" w:ascii="Times New Roman" w:eastAsia="仿宋_GB2312"/>
          <w:sz w:val="32"/>
          <w:szCs w:val="32"/>
        </w:rPr>
        <w:t>）针对案件审理中发现的问题提出司法建议。</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7</w:t>
      </w:r>
      <w:r>
        <w:rPr>
          <w:rFonts w:hint="eastAsia" w:ascii="Times New Roman" w:eastAsia="仿宋_GB2312"/>
          <w:sz w:val="32"/>
          <w:szCs w:val="32"/>
        </w:rPr>
        <w:t>）负责本院思想政治、教育培训、法制宣传工作，分类管理法官、书记员、司法警察、司法鉴定和司法行政人员，领导本院群团工作。</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8</w:t>
      </w:r>
      <w:r>
        <w:rPr>
          <w:rFonts w:hint="eastAsia" w:ascii="Times New Roman" w:eastAsia="仿宋_GB2312"/>
          <w:sz w:val="32"/>
          <w:szCs w:val="32"/>
        </w:rPr>
        <w:t>）负责本院的监察工作。</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9</w:t>
      </w:r>
      <w:r>
        <w:rPr>
          <w:rFonts w:hint="eastAsia" w:ascii="Times New Roman" w:eastAsia="仿宋_GB2312"/>
          <w:sz w:val="32"/>
          <w:szCs w:val="32"/>
        </w:rPr>
        <w:t>）管理本院有关费用和物资装备。</w:t>
      </w:r>
    </w:p>
    <w:p>
      <w:pPr>
        <w:shd w:val="clear"/>
        <w:spacing w:line="600" w:lineRule="atLeast"/>
        <w:ind w:firstLine="640" w:firstLineChars="200"/>
        <w:rPr>
          <w:rFonts w:ascii="Times New Roman" w:hAnsi="Times New Roman" w:eastAsia="仿宋_GB2312"/>
          <w:sz w:val="32"/>
          <w:szCs w:val="32"/>
        </w:rPr>
      </w:pPr>
      <w:r>
        <w:rPr>
          <w:rFonts w:hint="eastAsia" w:ascii="Times New Roman" w:eastAsia="仿宋_GB2312"/>
          <w:sz w:val="32"/>
          <w:szCs w:val="32"/>
        </w:rPr>
        <w:t>（</w:t>
      </w:r>
      <w:r>
        <w:rPr>
          <w:rFonts w:ascii="Times New Roman" w:hAnsi="Times New Roman" w:eastAsia="仿宋_GB2312"/>
          <w:sz w:val="32"/>
          <w:szCs w:val="32"/>
        </w:rPr>
        <w:t>10</w:t>
      </w:r>
      <w:r>
        <w:rPr>
          <w:rFonts w:hint="eastAsia" w:ascii="Times New Roman" w:eastAsia="仿宋_GB2312"/>
          <w:sz w:val="32"/>
          <w:szCs w:val="32"/>
        </w:rPr>
        <w:t>）参与社会治安综合治理。</w:t>
      </w:r>
    </w:p>
    <w:p>
      <w:pPr>
        <w:shd w:val="clear"/>
        <w:spacing w:line="576" w:lineRule="exact"/>
        <w:ind w:firstLine="640" w:firstLineChars="200"/>
        <w:rPr>
          <w:rFonts w:ascii="Times New Roman" w:hAnsi="Times New Roman" w:eastAsia="楷体_GB2312"/>
          <w:sz w:val="32"/>
          <w:szCs w:val="32"/>
        </w:rPr>
      </w:pPr>
      <w:r>
        <w:rPr>
          <w:rFonts w:hint="eastAsia" w:ascii="Times New Roman" w:eastAsia="仿宋_GB2312"/>
          <w:sz w:val="32"/>
          <w:szCs w:val="32"/>
        </w:rPr>
        <w:t>（</w:t>
      </w:r>
      <w:r>
        <w:rPr>
          <w:rFonts w:ascii="Times New Roman" w:hAnsi="Times New Roman" w:eastAsia="仿宋_GB2312"/>
          <w:sz w:val="32"/>
          <w:szCs w:val="32"/>
        </w:rPr>
        <w:t>11</w:t>
      </w:r>
      <w:r>
        <w:rPr>
          <w:rFonts w:hint="eastAsia" w:ascii="Times New Roman" w:eastAsia="仿宋_GB2312"/>
          <w:sz w:val="32"/>
          <w:szCs w:val="32"/>
        </w:rPr>
        <w:t>）承办其它应由旺苍县人民法院负责的工作。</w:t>
      </w:r>
    </w:p>
    <w:p>
      <w:pPr>
        <w:shd w:val="clear"/>
        <w:spacing w:line="576" w:lineRule="exact"/>
        <w:ind w:firstLine="640" w:firstLineChars="200"/>
        <w:outlineLvl w:val="1"/>
        <w:rPr>
          <w:rFonts w:ascii="Times New Roman" w:hAnsi="Times New Roman" w:eastAsia="楷体_GB2312"/>
          <w:sz w:val="32"/>
          <w:szCs w:val="32"/>
        </w:rPr>
      </w:pPr>
      <w:bookmarkStart w:id="2" w:name="_Toc23371"/>
      <w:r>
        <w:rPr>
          <w:rFonts w:hint="eastAsia" w:ascii="Times New Roman" w:hAnsi="楷体_GB2312" w:eastAsia="楷体_GB2312"/>
          <w:sz w:val="32"/>
          <w:szCs w:val="32"/>
        </w:rPr>
        <w:t>（二）旺苍县人民法院</w:t>
      </w:r>
      <w:r>
        <w:rPr>
          <w:rFonts w:ascii="Times New Roman" w:hAnsi="Times New Roman" w:eastAsia="楷体_GB2312"/>
          <w:sz w:val="32"/>
          <w:szCs w:val="32"/>
        </w:rPr>
        <w:t>2024</w:t>
      </w:r>
      <w:r>
        <w:rPr>
          <w:rFonts w:hint="eastAsia" w:ascii="Times New Roman" w:hAnsi="楷体_GB2312" w:eastAsia="楷体_GB2312"/>
          <w:sz w:val="32"/>
          <w:szCs w:val="32"/>
        </w:rPr>
        <w:t>年重点工作</w:t>
      </w:r>
      <w:bookmarkEnd w:id="2"/>
    </w:p>
    <w:p>
      <w:pPr>
        <w:pStyle w:val="16"/>
        <w:shd w:val="clear"/>
        <w:spacing w:line="576" w:lineRule="exact"/>
        <w:ind w:firstLine="31680"/>
        <w:rPr>
          <w:rFonts w:eastAsia="仿宋_GB2312" w:cs="Times New Roman"/>
        </w:rPr>
      </w:pPr>
      <w:r>
        <w:rPr>
          <w:rFonts w:eastAsia="仿宋_GB2312" w:cs="Times New Roman"/>
        </w:rPr>
        <w:t>2024</w:t>
      </w:r>
      <w:r>
        <w:rPr>
          <w:rFonts w:hint="eastAsia" w:eastAsia="仿宋_GB2312" w:cs="Times New Roman"/>
        </w:rPr>
        <w:t>年是全面贯彻落实党的二十大精神的又一新时代新阶段，县法院将坚持以习近平新时代中国特色社会主义思想为指引，切实把党的二十大精神贯穿到工作全过程、各方面，以服务大局为己任，紧紧围绕</w:t>
      </w:r>
      <w:r>
        <w:rPr>
          <w:rFonts w:eastAsia="仿宋_GB2312" w:cs="Times New Roman"/>
        </w:rPr>
        <w:t>“</w:t>
      </w:r>
      <w:r>
        <w:rPr>
          <w:rFonts w:hint="eastAsia" w:eastAsia="仿宋_GB2312" w:cs="Times New Roman"/>
        </w:rPr>
        <w:t>努力让人民群众在每一个司法案件中感受到公平正义</w:t>
      </w:r>
      <w:r>
        <w:rPr>
          <w:rFonts w:eastAsia="仿宋_GB2312" w:cs="Times New Roman"/>
        </w:rPr>
        <w:t>”</w:t>
      </w:r>
      <w:r>
        <w:rPr>
          <w:rFonts w:hint="eastAsia" w:eastAsia="仿宋_GB2312" w:cs="Times New Roman"/>
        </w:rPr>
        <w:t>总目标，充分发挥审判职能，依法、公正、高效、文明地办理好每一起案件，为加快建设社会主义现代化</w:t>
      </w:r>
      <w:r>
        <w:rPr>
          <w:rFonts w:eastAsia="仿宋_GB2312" w:cs="Times New Roman"/>
        </w:rPr>
        <w:t>“</w:t>
      </w:r>
      <w:r>
        <w:rPr>
          <w:rFonts w:hint="eastAsia" w:eastAsia="仿宋_GB2312" w:cs="Times New Roman"/>
        </w:rPr>
        <w:t>红色旺苍、中国茶乡</w:t>
      </w:r>
      <w:r>
        <w:rPr>
          <w:rFonts w:eastAsia="仿宋_GB2312" w:cs="Times New Roman"/>
        </w:rPr>
        <w:t>”</w:t>
      </w:r>
      <w:r>
        <w:rPr>
          <w:rFonts w:hint="eastAsia" w:eastAsia="仿宋_GB2312" w:cs="Times New Roman"/>
        </w:rPr>
        <w:t>做出新的更大贡献。</w:t>
      </w:r>
    </w:p>
    <w:p>
      <w:pPr>
        <w:pStyle w:val="16"/>
        <w:shd w:val="clear"/>
        <w:spacing w:line="576" w:lineRule="exact"/>
        <w:ind w:firstLine="31680"/>
        <w:rPr>
          <w:rFonts w:eastAsia="仿宋_GB2312" w:cs="Times New Roman"/>
        </w:rPr>
      </w:pPr>
      <w:r>
        <w:rPr>
          <w:rFonts w:hint="eastAsia" w:eastAsia="仿宋_GB2312" w:cs="Times New Roman"/>
          <w:bCs/>
          <w:kern w:val="0"/>
        </w:rPr>
        <w:t>一是在坚持和加强党的领导上持续用力。</w:t>
      </w:r>
      <w:r>
        <w:rPr>
          <w:rFonts w:hint="eastAsia" w:eastAsia="仿宋_GB2312" w:cs="Times New Roman"/>
        </w:rPr>
        <w:t>始终把党的政治建设摆在首位，坚持以习近平新时代中国特色社会主义思想武装头脑、指导实践、推动工作。树牢</w:t>
      </w:r>
      <w:r>
        <w:rPr>
          <w:rFonts w:eastAsia="仿宋_GB2312" w:cs="Times New Roman"/>
        </w:rPr>
        <w:t>“</w:t>
      </w:r>
      <w:r>
        <w:rPr>
          <w:rFonts w:hint="eastAsia" w:eastAsia="仿宋_GB2312" w:cs="Times New Roman"/>
        </w:rPr>
        <w:t>四个意识</w:t>
      </w:r>
      <w:r>
        <w:rPr>
          <w:rFonts w:eastAsia="仿宋_GB2312" w:cs="Times New Roman"/>
        </w:rPr>
        <w:t>”</w:t>
      </w:r>
      <w:r>
        <w:rPr>
          <w:rFonts w:hint="eastAsia" w:eastAsia="仿宋_GB2312" w:cs="Times New Roman"/>
        </w:rPr>
        <w:t>，坚定</w:t>
      </w:r>
      <w:r>
        <w:rPr>
          <w:rFonts w:eastAsia="仿宋_GB2312" w:cs="Times New Roman"/>
        </w:rPr>
        <w:t>“</w:t>
      </w:r>
      <w:r>
        <w:rPr>
          <w:rFonts w:hint="eastAsia" w:eastAsia="仿宋_GB2312" w:cs="Times New Roman"/>
        </w:rPr>
        <w:t>四个自信</w:t>
      </w:r>
      <w:r>
        <w:rPr>
          <w:rFonts w:eastAsia="仿宋_GB2312" w:cs="Times New Roman"/>
        </w:rPr>
        <w:t>”</w:t>
      </w:r>
      <w:r>
        <w:rPr>
          <w:rFonts w:hint="eastAsia" w:eastAsia="仿宋_GB2312" w:cs="Times New Roman"/>
        </w:rPr>
        <w:t>，坚决拥护</w:t>
      </w:r>
      <w:r>
        <w:rPr>
          <w:rFonts w:eastAsia="仿宋_GB2312" w:cs="Times New Roman"/>
        </w:rPr>
        <w:t>“</w:t>
      </w:r>
      <w:r>
        <w:rPr>
          <w:rFonts w:hint="eastAsia" w:eastAsia="仿宋_GB2312" w:cs="Times New Roman"/>
        </w:rPr>
        <w:t>两个确立</w:t>
      </w:r>
      <w:r>
        <w:rPr>
          <w:rFonts w:eastAsia="仿宋_GB2312" w:cs="Times New Roman"/>
        </w:rPr>
        <w:t>”</w:t>
      </w:r>
      <w:r>
        <w:rPr>
          <w:rFonts w:hint="eastAsia" w:eastAsia="仿宋_GB2312" w:cs="Times New Roman"/>
        </w:rPr>
        <w:t>，坚决做到</w:t>
      </w:r>
      <w:r>
        <w:rPr>
          <w:rFonts w:eastAsia="仿宋_GB2312" w:cs="Times New Roman"/>
        </w:rPr>
        <w:t>“</w:t>
      </w:r>
      <w:r>
        <w:rPr>
          <w:rFonts w:hint="eastAsia" w:eastAsia="仿宋_GB2312" w:cs="Times New Roman"/>
        </w:rPr>
        <w:t>两个维护</w:t>
      </w:r>
      <w:r>
        <w:rPr>
          <w:rFonts w:eastAsia="仿宋_GB2312" w:cs="Times New Roman"/>
        </w:rPr>
        <w:t>”</w:t>
      </w:r>
      <w:r>
        <w:rPr>
          <w:rFonts w:hint="eastAsia" w:eastAsia="仿宋_GB2312" w:cs="Times New Roman"/>
        </w:rPr>
        <w:t>，始终同以习近平同志为核心的党中央保持高度一致。严明政治纪律和政治规矩，严格执行请示报告制度。全面落实党组意识形态工作责任制。</w:t>
      </w:r>
    </w:p>
    <w:p>
      <w:pPr>
        <w:pStyle w:val="16"/>
        <w:shd w:val="clear"/>
        <w:spacing w:line="576" w:lineRule="exact"/>
        <w:ind w:firstLine="31680"/>
        <w:rPr>
          <w:rFonts w:eastAsia="仿宋_GB2312" w:cs="Times New Roman"/>
        </w:rPr>
      </w:pPr>
      <w:r>
        <w:rPr>
          <w:rFonts w:hint="eastAsia" w:eastAsia="仿宋_GB2312" w:cs="Times New Roman"/>
          <w:bCs/>
          <w:kern w:val="0"/>
        </w:rPr>
        <w:t>二是在能动司法服务大局上持续用力。</w:t>
      </w:r>
      <w:r>
        <w:rPr>
          <w:rFonts w:hint="eastAsia" w:eastAsia="仿宋_GB2312" w:cs="Times New Roman"/>
        </w:rPr>
        <w:t>常态化推进扫黑除恶斗争，依法惩治各类刑事犯罪，推进</w:t>
      </w:r>
      <w:r>
        <w:rPr>
          <w:rFonts w:eastAsia="仿宋_GB2312" w:cs="Times New Roman"/>
        </w:rPr>
        <w:t>“</w:t>
      </w:r>
      <w:r>
        <w:rPr>
          <w:rFonts w:hint="eastAsia" w:eastAsia="仿宋_GB2312" w:cs="Times New Roman"/>
        </w:rPr>
        <w:t>平安旺苍</w:t>
      </w:r>
      <w:r>
        <w:rPr>
          <w:rFonts w:eastAsia="仿宋_GB2312" w:cs="Times New Roman"/>
        </w:rPr>
        <w:t>”</w:t>
      </w:r>
      <w:r>
        <w:rPr>
          <w:rFonts w:hint="eastAsia" w:eastAsia="仿宋_GB2312" w:cs="Times New Roman"/>
        </w:rPr>
        <w:t>建设。依法保障法治化营商环境建设，妥善审理各类商事案件，服务经济高质量发展。加强行政审判，服务法治政府建设。加强环境资源审判，保护美丽生态。服务全面推进乡村振兴，助力更高水平的平安法治乡村建设。进一步参与社会治理，加强与其他机关、团体、组织的沟通协作，形成社会治理合力。</w:t>
      </w:r>
    </w:p>
    <w:p>
      <w:pPr>
        <w:shd w:val="clear"/>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bCs/>
          <w:sz w:val="32"/>
          <w:szCs w:val="32"/>
        </w:rPr>
        <w:t>三是在司法为民保障民生上持续用力。</w:t>
      </w:r>
      <w:r>
        <w:rPr>
          <w:rFonts w:hint="eastAsia" w:ascii="Times New Roman" w:hAnsi="Times New Roman" w:eastAsia="仿宋_GB2312"/>
          <w:sz w:val="32"/>
          <w:szCs w:val="32"/>
        </w:rPr>
        <w:t>坚定践行以人民为中心发展理念，聚焦人民群众急难愁盼问题，推出更多便民利民司法举措，推动矛盾纠纷源头化解、多元化解、实质性化解。深入推进</w:t>
      </w:r>
      <w:r>
        <w:rPr>
          <w:rFonts w:ascii="Times New Roman" w:hAnsi="Times New Roman" w:eastAsia="仿宋_GB2312"/>
          <w:sz w:val="32"/>
          <w:szCs w:val="32"/>
        </w:rPr>
        <w:t>“</w:t>
      </w:r>
      <w:r>
        <w:rPr>
          <w:rFonts w:hint="eastAsia" w:ascii="Times New Roman" w:hAnsi="Times New Roman" w:eastAsia="仿宋_GB2312"/>
          <w:sz w:val="32"/>
          <w:szCs w:val="32"/>
        </w:rPr>
        <w:t>两个一站式</w:t>
      </w:r>
      <w:r>
        <w:rPr>
          <w:rFonts w:ascii="Times New Roman" w:hAnsi="Times New Roman" w:eastAsia="仿宋_GB2312"/>
          <w:sz w:val="32"/>
          <w:szCs w:val="32"/>
        </w:rPr>
        <w:t>”</w:t>
      </w:r>
      <w:r>
        <w:rPr>
          <w:rFonts w:hint="eastAsia" w:ascii="Times New Roman" w:hAnsi="Times New Roman" w:eastAsia="仿宋_GB2312"/>
          <w:sz w:val="32"/>
          <w:szCs w:val="32"/>
        </w:rPr>
        <w:t>建设，打造现代化诉讼服务体系</w:t>
      </w:r>
      <w:r>
        <w:rPr>
          <w:rFonts w:ascii="Times New Roman" w:hAnsi="Times New Roman" w:eastAsia="仿宋_GB2312"/>
          <w:sz w:val="32"/>
          <w:szCs w:val="32"/>
        </w:rPr>
        <w:t>“</w:t>
      </w:r>
      <w:r>
        <w:rPr>
          <w:rFonts w:hint="eastAsia" w:ascii="Times New Roman" w:hAnsi="Times New Roman" w:eastAsia="仿宋_GB2312"/>
          <w:sz w:val="32"/>
          <w:szCs w:val="32"/>
        </w:rPr>
        <w:t>升级版</w:t>
      </w:r>
      <w:r>
        <w:rPr>
          <w:rFonts w:ascii="Times New Roman" w:hAnsi="Times New Roman" w:eastAsia="仿宋_GB2312"/>
          <w:sz w:val="32"/>
          <w:szCs w:val="32"/>
        </w:rPr>
        <w:t>”</w:t>
      </w:r>
      <w:r>
        <w:rPr>
          <w:rFonts w:hint="eastAsia" w:ascii="Times New Roman" w:hAnsi="Times New Roman" w:eastAsia="仿宋_GB2312"/>
          <w:sz w:val="32"/>
          <w:szCs w:val="32"/>
        </w:rPr>
        <w:t>。继续做好案件繁简分流，创新速裁审判方式。持续深化破解</w:t>
      </w:r>
      <w:r>
        <w:rPr>
          <w:rFonts w:ascii="Times New Roman" w:hAnsi="Times New Roman" w:eastAsia="仿宋_GB2312"/>
          <w:sz w:val="32"/>
          <w:szCs w:val="32"/>
        </w:rPr>
        <w:t>“</w:t>
      </w:r>
      <w:r>
        <w:rPr>
          <w:rFonts w:hint="eastAsia" w:ascii="Times New Roman" w:hAnsi="Times New Roman" w:eastAsia="仿宋_GB2312"/>
          <w:sz w:val="32"/>
          <w:szCs w:val="32"/>
        </w:rPr>
        <w:t>执行难</w:t>
      </w:r>
      <w:r>
        <w:rPr>
          <w:rFonts w:ascii="Times New Roman" w:hAnsi="Times New Roman" w:eastAsia="仿宋_GB2312"/>
          <w:sz w:val="32"/>
          <w:szCs w:val="32"/>
        </w:rPr>
        <w:t>”</w:t>
      </w:r>
      <w:r>
        <w:rPr>
          <w:rFonts w:hint="eastAsia" w:ascii="Times New Roman" w:hAnsi="Times New Roman" w:eastAsia="仿宋_GB2312"/>
          <w:sz w:val="32"/>
          <w:szCs w:val="32"/>
        </w:rPr>
        <w:t>，用足用好</w:t>
      </w:r>
      <w:r>
        <w:rPr>
          <w:rFonts w:ascii="Times New Roman" w:hAnsi="Times New Roman" w:eastAsia="仿宋_GB2312"/>
          <w:sz w:val="32"/>
          <w:szCs w:val="32"/>
        </w:rPr>
        <w:t>“</w:t>
      </w:r>
      <w:r>
        <w:rPr>
          <w:rFonts w:hint="eastAsia" w:ascii="Times New Roman" w:hAnsi="Times New Roman" w:eastAsia="仿宋_GB2312"/>
          <w:sz w:val="32"/>
          <w:szCs w:val="32"/>
        </w:rPr>
        <w:t>信用惩戒</w:t>
      </w:r>
      <w:r>
        <w:rPr>
          <w:rFonts w:ascii="Times New Roman" w:hAnsi="Times New Roman" w:eastAsia="仿宋_GB2312"/>
          <w:sz w:val="32"/>
          <w:szCs w:val="32"/>
        </w:rPr>
        <w:t>”“</w:t>
      </w:r>
      <w:r>
        <w:rPr>
          <w:rFonts w:hint="eastAsia" w:ascii="Times New Roman" w:hAnsi="Times New Roman" w:eastAsia="仿宋_GB2312"/>
          <w:sz w:val="32"/>
          <w:szCs w:val="32"/>
        </w:rPr>
        <w:t>打击拒执</w:t>
      </w:r>
      <w:r>
        <w:rPr>
          <w:rFonts w:ascii="Times New Roman" w:hAnsi="Times New Roman" w:eastAsia="仿宋_GB2312"/>
          <w:sz w:val="32"/>
          <w:szCs w:val="32"/>
        </w:rPr>
        <w:t>”</w:t>
      </w:r>
      <w:r>
        <w:rPr>
          <w:rFonts w:hint="eastAsia" w:ascii="Times New Roman" w:hAnsi="Times New Roman" w:eastAsia="仿宋_GB2312"/>
          <w:sz w:val="32"/>
          <w:szCs w:val="32"/>
        </w:rPr>
        <w:t>等执行手段，进一步树立司法权威。</w:t>
      </w:r>
    </w:p>
    <w:p>
      <w:pPr>
        <w:pStyle w:val="16"/>
        <w:shd w:val="clear"/>
        <w:spacing w:line="576" w:lineRule="exact"/>
        <w:ind w:firstLine="31680"/>
        <w:rPr>
          <w:rFonts w:eastAsia="仿宋_GB2312" w:cs="Times New Roman"/>
        </w:rPr>
      </w:pPr>
      <w:r>
        <w:rPr>
          <w:rFonts w:hint="eastAsia" w:eastAsia="仿宋_GB2312" w:cs="Times New Roman"/>
          <w:bCs/>
          <w:kern w:val="0"/>
        </w:rPr>
        <w:t>四是在锻造过硬法院队伍上持续用力。</w:t>
      </w:r>
      <w:r>
        <w:rPr>
          <w:rFonts w:hint="eastAsia" w:eastAsia="仿宋_GB2312" w:cs="Times New Roman"/>
        </w:rPr>
        <w:t>自觉接受人大、政协、监察机关、检察机关及社会各界的监督。围绕</w:t>
      </w:r>
      <w:r>
        <w:rPr>
          <w:rFonts w:eastAsia="仿宋_GB2312" w:cs="Times New Roman"/>
        </w:rPr>
        <w:t>“</w:t>
      </w:r>
      <w:r>
        <w:rPr>
          <w:rFonts w:hint="eastAsia" w:eastAsia="仿宋_GB2312" w:cs="Times New Roman"/>
        </w:rPr>
        <w:t>自我提升</w:t>
      </w:r>
      <w:r>
        <w:rPr>
          <w:rFonts w:eastAsia="仿宋_GB2312" w:cs="Times New Roman"/>
        </w:rPr>
        <w:t>”</w:t>
      </w:r>
      <w:r>
        <w:rPr>
          <w:rFonts w:hint="eastAsia" w:eastAsia="仿宋_GB2312" w:cs="Times New Roman"/>
        </w:rPr>
        <w:t>主题，从法院</w:t>
      </w:r>
      <w:r>
        <w:rPr>
          <w:rFonts w:eastAsia="仿宋_GB2312" w:cs="Times New Roman"/>
        </w:rPr>
        <w:t>“</w:t>
      </w:r>
      <w:r>
        <w:rPr>
          <w:rFonts w:hint="eastAsia" w:eastAsia="仿宋_GB2312" w:cs="Times New Roman"/>
        </w:rPr>
        <w:t>大我</w:t>
      </w:r>
      <w:r>
        <w:rPr>
          <w:rFonts w:eastAsia="仿宋_GB2312" w:cs="Times New Roman"/>
        </w:rPr>
        <w:t>”</w:t>
      </w:r>
      <w:r>
        <w:rPr>
          <w:rFonts w:hint="eastAsia" w:eastAsia="仿宋_GB2312" w:cs="Times New Roman"/>
        </w:rPr>
        <w:t>、干警</w:t>
      </w:r>
      <w:r>
        <w:rPr>
          <w:rFonts w:eastAsia="仿宋_GB2312" w:cs="Times New Roman"/>
        </w:rPr>
        <w:t>“</w:t>
      </w:r>
      <w:r>
        <w:rPr>
          <w:rFonts w:hint="eastAsia" w:eastAsia="仿宋_GB2312" w:cs="Times New Roman"/>
        </w:rPr>
        <w:t>小我</w:t>
      </w:r>
      <w:r>
        <w:rPr>
          <w:rFonts w:eastAsia="仿宋_GB2312" w:cs="Times New Roman"/>
        </w:rPr>
        <w:t>”</w:t>
      </w:r>
      <w:r>
        <w:rPr>
          <w:rFonts w:hint="eastAsia" w:eastAsia="仿宋_GB2312" w:cs="Times New Roman"/>
        </w:rPr>
        <w:t>两个维度努力实现全面提升，推动队伍革命化、正规化、专业化、职业化建设。坚持全面从严治党、从严治院向纵深发展，确保司法公正廉洁。</w:t>
      </w:r>
    </w:p>
    <w:p>
      <w:pPr>
        <w:shd w:val="clear"/>
        <w:spacing w:line="576" w:lineRule="exact"/>
        <w:ind w:firstLine="640" w:firstLineChars="200"/>
        <w:outlineLvl w:val="0"/>
        <w:rPr>
          <w:rFonts w:ascii="Times New Roman" w:hAnsi="Times New Roman" w:eastAsia="黑体"/>
          <w:sz w:val="32"/>
          <w:szCs w:val="32"/>
        </w:rPr>
      </w:pPr>
      <w:bookmarkStart w:id="3" w:name="_Toc26897"/>
      <w:r>
        <w:rPr>
          <w:rFonts w:hint="eastAsia" w:ascii="Times New Roman" w:hAnsi="黑体" w:eastAsia="黑体"/>
          <w:sz w:val="32"/>
          <w:szCs w:val="32"/>
        </w:rPr>
        <w:t>二、部门预算单位构成</w:t>
      </w:r>
      <w:bookmarkEnd w:id="3"/>
    </w:p>
    <w:p>
      <w:pPr>
        <w:shd w:val="clear"/>
        <w:spacing w:line="576" w:lineRule="exact"/>
        <w:ind w:firstLine="640" w:firstLineChars="200"/>
        <w:rPr>
          <w:rFonts w:ascii="Times New Roman" w:hAnsi="Times New Roman" w:eastAsia="仿宋_GB2312"/>
          <w:sz w:val="32"/>
          <w:szCs w:val="32"/>
        </w:rPr>
      </w:pPr>
      <w:r>
        <w:rPr>
          <w:rFonts w:hint="eastAsia" w:ascii="仿宋_GB2312" w:hAnsi="Times New Roman" w:eastAsia="仿宋_GB2312"/>
          <w:color w:val="333333"/>
          <w:kern w:val="0"/>
          <w:sz w:val="32"/>
          <w:szCs w:val="32"/>
          <w:shd w:val="clear" w:color="auto" w:fill="FFFFFF"/>
        </w:rPr>
        <w:t>旺苍县人民法院属一级预算单位，无下属二级预算单位。</w:t>
      </w:r>
    </w:p>
    <w:p>
      <w:pPr>
        <w:shd w:val="clear"/>
        <w:spacing w:line="576" w:lineRule="exact"/>
        <w:ind w:firstLine="640" w:firstLineChars="200"/>
        <w:outlineLvl w:val="0"/>
        <w:rPr>
          <w:rFonts w:ascii="Times New Roman" w:hAnsi="Times New Roman" w:eastAsia="黑体"/>
          <w:sz w:val="32"/>
          <w:szCs w:val="32"/>
        </w:rPr>
      </w:pPr>
      <w:bookmarkStart w:id="4" w:name="_Toc19036"/>
      <w:r>
        <w:rPr>
          <w:rFonts w:hint="eastAsia" w:ascii="Times New Roman" w:hAnsi="黑体" w:eastAsia="黑体"/>
          <w:sz w:val="32"/>
          <w:szCs w:val="32"/>
        </w:rPr>
        <w:t>三、收支预算情况说明</w:t>
      </w:r>
      <w:bookmarkEnd w:id="4"/>
    </w:p>
    <w:p>
      <w:pPr>
        <w:shd w:val="clear"/>
        <w:ind w:firstLine="640" w:firstLineChars="200"/>
        <w:rPr>
          <w:rFonts w:ascii="Times New Roman" w:hAnsi="Times New Roman" w:eastAsia="仿宋_GB2312"/>
          <w:sz w:val="32"/>
          <w:szCs w:val="32"/>
        </w:rPr>
      </w:pPr>
      <w:r>
        <w:rPr>
          <w:rFonts w:hint="eastAsia" w:ascii="Times New Roman" w:hAnsi="仿宋_GB2312" w:eastAsia="仿宋_GB2312"/>
          <w:sz w:val="32"/>
          <w:szCs w:val="32"/>
        </w:rPr>
        <w:t>按照综合预算的原则，</w:t>
      </w:r>
      <w:r>
        <w:rPr>
          <w:rFonts w:hint="eastAsia" w:ascii="仿宋_GB2312" w:hAnsi="Times New Roman" w:eastAsia="仿宋_GB2312"/>
          <w:color w:val="333333"/>
          <w:kern w:val="0"/>
          <w:sz w:val="32"/>
          <w:szCs w:val="32"/>
          <w:shd w:val="clear" w:color="auto" w:fill="FFFFFF"/>
        </w:rPr>
        <w:t>旺苍县人民法院</w:t>
      </w:r>
      <w:r>
        <w:rPr>
          <w:rFonts w:hint="eastAsia" w:ascii="Times New Roman" w:hAnsi="仿宋_GB2312" w:eastAsia="仿宋_GB2312"/>
          <w:sz w:val="32"/>
          <w:szCs w:val="32"/>
        </w:rPr>
        <w:t>所有收入和支出均纳入部门预算管理。收入包括：一般公共预算拨款收入；支出包括：公共安全支出、社会保障和就业支出、卫生健康支出、住房保障支出。</w:t>
      </w: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年收支预算总</w:t>
      </w:r>
      <w:r>
        <w:rPr>
          <w:rFonts w:hint="eastAsia" w:ascii="Times New Roman" w:hAnsi="Times New Roman" w:eastAsia="仿宋_GB2312"/>
          <w:sz w:val="32"/>
          <w:szCs w:val="32"/>
        </w:rPr>
        <w:t>数</w:t>
      </w:r>
      <w:r>
        <w:rPr>
          <w:rFonts w:ascii="Times New Roman" w:hAnsi="Times New Roman" w:eastAsia="仿宋_GB2312"/>
          <w:sz w:val="32"/>
          <w:szCs w:val="32"/>
        </w:rPr>
        <w:t>1683.01</w:t>
      </w:r>
      <w:r>
        <w:rPr>
          <w:rFonts w:hint="eastAsia" w:ascii="Times New Roman" w:hAnsi="仿宋_GB2312" w:eastAsia="仿宋_GB2312"/>
          <w:sz w:val="32"/>
          <w:szCs w:val="32"/>
        </w:rPr>
        <w:t>万元</w:t>
      </w:r>
      <w:r>
        <w:rPr>
          <w:rFonts w:ascii="Times New Roman" w:hAnsi="Times New Roman" w:eastAsia="仿宋_GB2312"/>
          <w:sz w:val="32"/>
          <w:szCs w:val="32"/>
        </w:rPr>
        <w:t>,</w:t>
      </w:r>
      <w:r>
        <w:rPr>
          <w:rFonts w:hint="eastAsia" w:ascii="Times New Roman" w:hAnsi="仿宋_GB2312" w:eastAsia="仿宋_GB2312"/>
          <w:sz w:val="32"/>
          <w:szCs w:val="32"/>
        </w:rPr>
        <w:t>比</w:t>
      </w:r>
      <w:r>
        <w:rPr>
          <w:rFonts w:ascii="Times New Roman" w:hAnsi="Times New Roman" w:eastAsia="仿宋_GB2312"/>
          <w:sz w:val="32"/>
          <w:szCs w:val="32"/>
        </w:rPr>
        <w:t>2023</w:t>
      </w:r>
      <w:r>
        <w:rPr>
          <w:rFonts w:hint="eastAsia" w:ascii="Times New Roman" w:hAnsi="仿宋_GB2312" w:eastAsia="仿宋_GB2312"/>
          <w:sz w:val="32"/>
          <w:szCs w:val="32"/>
        </w:rPr>
        <w:t>年收支预算总数减少</w:t>
      </w:r>
      <w:r>
        <w:rPr>
          <w:rFonts w:ascii="Times New Roman" w:hAnsi="Times New Roman" w:eastAsia="仿宋_GB2312"/>
          <w:sz w:val="32"/>
          <w:szCs w:val="32"/>
        </w:rPr>
        <w:t>21.19</w:t>
      </w:r>
      <w:r>
        <w:rPr>
          <w:rFonts w:hint="eastAsia" w:ascii="Times New Roman" w:hAnsi="仿宋_GB2312" w:eastAsia="仿宋_GB2312"/>
          <w:sz w:val="32"/>
          <w:szCs w:val="32"/>
        </w:rPr>
        <w:t>万元，主要原因是</w:t>
      </w:r>
      <w:r>
        <w:rPr>
          <w:rFonts w:ascii="Times New Roman" w:hAnsi="仿宋_GB2312" w:eastAsia="仿宋_GB2312"/>
          <w:sz w:val="32"/>
          <w:szCs w:val="32"/>
        </w:rPr>
        <w:t>2024</w:t>
      </w:r>
      <w:r>
        <w:rPr>
          <w:rFonts w:hint="eastAsia" w:ascii="Times New Roman" w:hAnsi="仿宋_GB2312" w:eastAsia="仿宋_GB2312"/>
          <w:sz w:val="32"/>
          <w:szCs w:val="32"/>
        </w:rPr>
        <w:t>年人员较上年减少</w:t>
      </w:r>
      <w:r>
        <w:rPr>
          <w:rFonts w:ascii="Times New Roman" w:hAnsi="仿宋_GB2312" w:eastAsia="仿宋_GB2312"/>
          <w:sz w:val="32"/>
          <w:szCs w:val="32"/>
        </w:rPr>
        <w:t>3</w:t>
      </w:r>
      <w:r>
        <w:rPr>
          <w:rFonts w:hint="eastAsia" w:ascii="Times New Roman" w:hAnsi="仿宋_GB2312" w:eastAsia="仿宋_GB2312"/>
          <w:sz w:val="32"/>
          <w:szCs w:val="32"/>
        </w:rPr>
        <w:t>人，人员经费及公用经费相应减少。</w:t>
      </w:r>
    </w:p>
    <w:p>
      <w:pPr>
        <w:shd w:val="clear"/>
        <w:spacing w:line="576" w:lineRule="exact"/>
        <w:ind w:firstLine="640" w:firstLineChars="200"/>
        <w:outlineLvl w:val="1"/>
        <w:rPr>
          <w:rFonts w:ascii="Times New Roman" w:hAnsi="Times New Roman" w:eastAsia="楷体_GB2312"/>
          <w:sz w:val="32"/>
          <w:szCs w:val="32"/>
        </w:rPr>
      </w:pPr>
      <w:bookmarkStart w:id="5" w:name="_Toc4951"/>
      <w:r>
        <w:rPr>
          <w:rFonts w:hint="eastAsia" w:ascii="Times New Roman" w:hAnsi="楷体_GB2312" w:eastAsia="楷体_GB2312"/>
          <w:sz w:val="32"/>
          <w:szCs w:val="32"/>
        </w:rPr>
        <w:t>（一）收入预算情况</w:t>
      </w:r>
      <w:bookmarkEnd w:id="5"/>
    </w:p>
    <w:p>
      <w:pPr>
        <w:shd w:val="clear"/>
        <w:spacing w:line="576" w:lineRule="exact"/>
        <w:ind w:firstLine="640" w:firstLineChars="200"/>
        <w:rPr>
          <w:rFonts w:ascii="Times New Roman" w:hAnsi="仿宋_GB2312" w:eastAsia="仿宋_GB2312"/>
          <w:b/>
          <w:bCs/>
          <w:color w:val="FF0000"/>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年收入预算</w:t>
      </w:r>
      <w:r>
        <w:rPr>
          <w:rFonts w:ascii="Times New Roman" w:hAnsi="Times New Roman" w:eastAsia="仿宋_GB2312"/>
          <w:sz w:val="32"/>
          <w:szCs w:val="32"/>
        </w:rPr>
        <w:t>1683.01</w:t>
      </w:r>
      <w:r>
        <w:rPr>
          <w:rFonts w:hint="eastAsia" w:ascii="Times New Roman" w:hAnsi="仿宋_GB2312" w:eastAsia="仿宋_GB2312"/>
          <w:sz w:val="32"/>
          <w:szCs w:val="32"/>
        </w:rPr>
        <w:t>万元，其中：一般公共预算拨款收入</w:t>
      </w:r>
      <w:r>
        <w:rPr>
          <w:rFonts w:ascii="Times New Roman" w:hAnsi="Times New Roman" w:eastAsia="仿宋_GB2312"/>
          <w:sz w:val="32"/>
          <w:szCs w:val="32"/>
        </w:rPr>
        <w:t>1683.01</w:t>
      </w:r>
      <w:r>
        <w:rPr>
          <w:rFonts w:hint="eastAsia" w:ascii="Times New Roman" w:hAnsi="仿宋_GB2312" w:eastAsia="仿宋_GB2312"/>
          <w:sz w:val="32"/>
          <w:szCs w:val="32"/>
        </w:rPr>
        <w:t>万元，占</w:t>
      </w:r>
      <w:r>
        <w:rPr>
          <w:rFonts w:ascii="Times New Roman" w:hAnsi="Times New Roman" w:eastAsia="仿宋_GB2312"/>
          <w:sz w:val="32"/>
          <w:szCs w:val="32"/>
        </w:rPr>
        <w:t>100%</w:t>
      </w:r>
      <w:r>
        <w:rPr>
          <w:rFonts w:hint="eastAsia" w:ascii="Times New Roman" w:hAnsi="仿宋_GB2312" w:eastAsia="仿宋_GB2312"/>
          <w:sz w:val="32"/>
          <w:szCs w:val="32"/>
        </w:rPr>
        <w:t>。</w:t>
      </w:r>
    </w:p>
    <w:p>
      <w:pPr>
        <w:shd w:val="clear"/>
        <w:spacing w:line="576" w:lineRule="exact"/>
        <w:ind w:firstLine="640" w:firstLineChars="200"/>
        <w:outlineLvl w:val="1"/>
        <w:rPr>
          <w:rFonts w:ascii="Times New Roman" w:hAnsi="Times New Roman" w:eastAsia="楷体_GB2312"/>
          <w:sz w:val="32"/>
          <w:szCs w:val="32"/>
        </w:rPr>
      </w:pPr>
      <w:bookmarkStart w:id="6" w:name="_Toc3006"/>
      <w:r>
        <w:rPr>
          <w:rFonts w:hint="eastAsia" w:ascii="Times New Roman" w:hAnsi="楷体_GB2312" w:eastAsia="楷体_GB2312"/>
          <w:sz w:val="32"/>
          <w:szCs w:val="32"/>
        </w:rPr>
        <w:t>（二）支出预算情况</w:t>
      </w:r>
      <w:bookmarkEnd w:id="6"/>
    </w:p>
    <w:p>
      <w:pPr>
        <w:shd w:val="clear"/>
        <w:spacing w:line="576" w:lineRule="exact"/>
        <w:ind w:firstLine="640" w:firstLineChars="200"/>
        <w:rPr>
          <w:rFonts w:ascii="Times New Roman" w:hAnsi="Times New Roman" w:eastAsia="仿宋_GB2312"/>
          <w:b/>
          <w:bCs/>
          <w:color w:val="FF0000"/>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年支出预算</w:t>
      </w:r>
      <w:r>
        <w:rPr>
          <w:rFonts w:ascii="Times New Roman" w:hAnsi="Times New Roman" w:eastAsia="仿宋_GB2312"/>
          <w:sz w:val="32"/>
          <w:szCs w:val="32"/>
        </w:rPr>
        <w:t>1683.01</w:t>
      </w:r>
      <w:r>
        <w:rPr>
          <w:rFonts w:hint="eastAsia" w:ascii="Times New Roman" w:hAnsi="仿宋_GB2312" w:eastAsia="仿宋_GB2312"/>
          <w:sz w:val="32"/>
          <w:szCs w:val="32"/>
        </w:rPr>
        <w:t>万元，其中：基本支出</w:t>
      </w:r>
      <w:r>
        <w:rPr>
          <w:rFonts w:ascii="Times New Roman" w:hAnsi="Times New Roman" w:eastAsia="仿宋_GB2312"/>
          <w:sz w:val="32"/>
          <w:szCs w:val="32"/>
        </w:rPr>
        <w:t>1360.53</w:t>
      </w:r>
      <w:r>
        <w:rPr>
          <w:rFonts w:hint="eastAsia" w:ascii="Times New Roman" w:hAnsi="仿宋_GB2312" w:eastAsia="仿宋_GB2312"/>
          <w:sz w:val="32"/>
          <w:szCs w:val="32"/>
        </w:rPr>
        <w:t>万元，占</w:t>
      </w:r>
      <w:r>
        <w:rPr>
          <w:rFonts w:ascii="Times New Roman" w:hAnsi="Times New Roman" w:eastAsia="仿宋_GB2312"/>
          <w:sz w:val="32"/>
          <w:szCs w:val="32"/>
        </w:rPr>
        <w:t>80.84%</w:t>
      </w:r>
      <w:r>
        <w:rPr>
          <w:rFonts w:hint="eastAsia" w:ascii="Times New Roman" w:hAnsi="仿宋_GB2312" w:eastAsia="仿宋_GB2312"/>
          <w:sz w:val="32"/>
          <w:szCs w:val="32"/>
        </w:rPr>
        <w:t>；项目支出</w:t>
      </w:r>
      <w:r>
        <w:rPr>
          <w:rFonts w:ascii="Times New Roman" w:hAnsi="Times New Roman" w:eastAsia="仿宋_GB2312"/>
          <w:sz w:val="32"/>
          <w:szCs w:val="32"/>
        </w:rPr>
        <w:t>322.48</w:t>
      </w:r>
      <w:r>
        <w:rPr>
          <w:rFonts w:hint="eastAsia" w:ascii="Times New Roman" w:hAnsi="仿宋_GB2312" w:eastAsia="仿宋_GB2312"/>
          <w:sz w:val="32"/>
          <w:szCs w:val="32"/>
        </w:rPr>
        <w:t>万元，占</w:t>
      </w:r>
      <w:r>
        <w:rPr>
          <w:rFonts w:ascii="Times New Roman" w:hAnsi="Times New Roman" w:eastAsia="仿宋_GB2312"/>
          <w:sz w:val="32"/>
          <w:szCs w:val="32"/>
        </w:rPr>
        <w:t>19.16%</w:t>
      </w:r>
      <w:r>
        <w:rPr>
          <w:rFonts w:hint="eastAsia" w:ascii="Times New Roman" w:hAnsi="仿宋_GB2312" w:eastAsia="仿宋_GB2312"/>
          <w:sz w:val="32"/>
          <w:szCs w:val="32"/>
        </w:rPr>
        <w:t>。</w:t>
      </w:r>
    </w:p>
    <w:p>
      <w:pPr>
        <w:shd w:val="clear"/>
        <w:spacing w:line="576" w:lineRule="exact"/>
        <w:ind w:firstLine="640" w:firstLineChars="200"/>
        <w:outlineLvl w:val="0"/>
        <w:rPr>
          <w:rFonts w:ascii="Times New Roman" w:hAnsi="Times New Roman" w:eastAsia="黑体"/>
          <w:sz w:val="32"/>
          <w:szCs w:val="32"/>
        </w:rPr>
      </w:pPr>
      <w:bookmarkStart w:id="7" w:name="_Toc6835"/>
      <w:r>
        <w:rPr>
          <w:rFonts w:hint="eastAsia" w:ascii="Times New Roman" w:hAnsi="黑体" w:eastAsia="黑体"/>
          <w:sz w:val="32"/>
          <w:szCs w:val="32"/>
        </w:rPr>
        <w:t>四、财政拨款收支预算情况说明</w:t>
      </w:r>
      <w:bookmarkEnd w:id="7"/>
    </w:p>
    <w:p>
      <w:pPr>
        <w:shd w:val="clear"/>
        <w:spacing w:line="576" w:lineRule="exact"/>
        <w:ind w:firstLine="640" w:firstLineChars="200"/>
        <w:rPr>
          <w:rFonts w:ascii="Times New Roman" w:hAnsi="Times New Roman" w:eastAsia="仿宋_GB2312"/>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年财政拨款收支预算总数</w:t>
      </w:r>
      <w:r>
        <w:rPr>
          <w:rFonts w:ascii="Times New Roman" w:hAnsi="Times New Roman" w:eastAsia="仿宋_GB2312"/>
          <w:sz w:val="32"/>
          <w:szCs w:val="32"/>
        </w:rPr>
        <w:t>1683.01</w:t>
      </w:r>
      <w:r>
        <w:rPr>
          <w:rFonts w:hint="eastAsia" w:ascii="Times New Roman" w:hAnsi="仿宋_GB2312" w:eastAsia="仿宋_GB2312"/>
          <w:sz w:val="32"/>
          <w:szCs w:val="32"/>
        </w:rPr>
        <w:t>万元</w:t>
      </w:r>
      <w:r>
        <w:rPr>
          <w:rFonts w:ascii="Times New Roman" w:hAnsi="Times New Roman" w:eastAsia="仿宋_GB2312"/>
          <w:sz w:val="32"/>
          <w:szCs w:val="32"/>
        </w:rPr>
        <w:t>,</w:t>
      </w:r>
      <w:r>
        <w:rPr>
          <w:rFonts w:hint="eastAsia" w:ascii="Times New Roman" w:hAnsi="仿宋_GB2312" w:eastAsia="仿宋_GB2312"/>
          <w:sz w:val="32"/>
          <w:szCs w:val="32"/>
        </w:rPr>
        <w:t>比</w:t>
      </w:r>
      <w:r>
        <w:rPr>
          <w:rFonts w:ascii="Times New Roman" w:hAnsi="Times New Roman" w:eastAsia="仿宋_GB2312"/>
          <w:sz w:val="32"/>
          <w:szCs w:val="32"/>
        </w:rPr>
        <w:t>2023</w:t>
      </w:r>
      <w:r>
        <w:rPr>
          <w:rFonts w:hint="eastAsia" w:ascii="Times New Roman" w:hAnsi="仿宋_GB2312" w:eastAsia="仿宋_GB2312"/>
          <w:sz w:val="32"/>
          <w:szCs w:val="32"/>
        </w:rPr>
        <w:t>年财政拨款收支预算总数减少</w:t>
      </w:r>
      <w:r>
        <w:rPr>
          <w:rFonts w:ascii="Times New Roman" w:hAnsi="Times New Roman" w:eastAsia="仿宋_GB2312"/>
          <w:sz w:val="32"/>
          <w:szCs w:val="32"/>
        </w:rPr>
        <w:t>21.19</w:t>
      </w:r>
      <w:r>
        <w:rPr>
          <w:rFonts w:hint="eastAsia" w:ascii="Times New Roman" w:hAnsi="仿宋_GB2312" w:eastAsia="仿宋_GB2312"/>
          <w:sz w:val="32"/>
          <w:szCs w:val="32"/>
        </w:rPr>
        <w:t>万元，主要原因是</w:t>
      </w:r>
      <w:r>
        <w:rPr>
          <w:rFonts w:ascii="Times New Roman" w:hAnsi="仿宋_GB2312" w:eastAsia="仿宋_GB2312"/>
          <w:sz w:val="32"/>
          <w:szCs w:val="32"/>
        </w:rPr>
        <w:t>2024</w:t>
      </w:r>
      <w:r>
        <w:rPr>
          <w:rFonts w:hint="eastAsia" w:ascii="Times New Roman" w:hAnsi="仿宋_GB2312" w:eastAsia="仿宋_GB2312"/>
          <w:sz w:val="32"/>
          <w:szCs w:val="32"/>
        </w:rPr>
        <w:t>年人员较上年减少</w:t>
      </w:r>
      <w:r>
        <w:rPr>
          <w:rFonts w:ascii="Times New Roman" w:hAnsi="仿宋_GB2312" w:eastAsia="仿宋_GB2312"/>
          <w:sz w:val="32"/>
          <w:szCs w:val="32"/>
        </w:rPr>
        <w:t>3</w:t>
      </w:r>
      <w:r>
        <w:rPr>
          <w:rFonts w:hint="eastAsia" w:ascii="Times New Roman" w:hAnsi="仿宋_GB2312" w:eastAsia="仿宋_GB2312"/>
          <w:sz w:val="32"/>
          <w:szCs w:val="32"/>
        </w:rPr>
        <w:t>人，人员经费及公用经费相应减少。</w:t>
      </w:r>
    </w:p>
    <w:p>
      <w:pPr>
        <w:shd w:val="clear"/>
        <w:spacing w:line="576" w:lineRule="exact"/>
        <w:ind w:firstLine="640" w:firstLineChars="200"/>
        <w:rPr>
          <w:rFonts w:ascii="Times New Roman" w:hAnsi="Times New Roman" w:eastAsia="仿宋_GB2312"/>
          <w:sz w:val="32"/>
          <w:szCs w:val="32"/>
        </w:rPr>
      </w:pPr>
      <w:r>
        <w:rPr>
          <w:rFonts w:hint="eastAsia" w:ascii="Times New Roman" w:hAnsi="仿宋_GB2312" w:eastAsia="仿宋_GB2312"/>
          <w:sz w:val="32"/>
          <w:szCs w:val="32"/>
        </w:rPr>
        <w:t>收入包括：本年一般公共预算拨款收入</w:t>
      </w:r>
      <w:r>
        <w:rPr>
          <w:rFonts w:ascii="Times New Roman" w:hAnsi="Times New Roman" w:eastAsia="仿宋_GB2312"/>
          <w:sz w:val="32"/>
          <w:szCs w:val="32"/>
        </w:rPr>
        <w:t>1683.01</w:t>
      </w:r>
      <w:r>
        <w:rPr>
          <w:rFonts w:hint="eastAsia" w:ascii="Times New Roman" w:hAnsi="仿宋_GB2312" w:eastAsia="仿宋_GB2312"/>
          <w:sz w:val="32"/>
          <w:szCs w:val="32"/>
        </w:rPr>
        <w:t>万元；支出包括：公共安全支出</w:t>
      </w:r>
      <w:r>
        <w:rPr>
          <w:rFonts w:ascii="Times New Roman" w:hAnsi="Times New Roman" w:eastAsia="仿宋_GB2312"/>
          <w:sz w:val="32"/>
          <w:szCs w:val="32"/>
        </w:rPr>
        <w:t>1457.72</w:t>
      </w:r>
      <w:r>
        <w:rPr>
          <w:rFonts w:hint="eastAsia" w:ascii="Times New Roman" w:hAnsi="仿宋_GB2312" w:eastAsia="仿宋_GB2312"/>
          <w:sz w:val="32"/>
          <w:szCs w:val="32"/>
        </w:rPr>
        <w:t>万元、社会保障和就业支出</w:t>
      </w:r>
      <w:r>
        <w:rPr>
          <w:rFonts w:ascii="Times New Roman" w:hAnsi="Times New Roman" w:eastAsia="仿宋_GB2312"/>
          <w:sz w:val="32"/>
          <w:szCs w:val="32"/>
        </w:rPr>
        <w:t>96.61</w:t>
      </w:r>
      <w:r>
        <w:rPr>
          <w:rFonts w:hint="eastAsia" w:ascii="Times New Roman" w:hAnsi="仿宋_GB2312" w:eastAsia="仿宋_GB2312"/>
          <w:sz w:val="32"/>
          <w:szCs w:val="32"/>
        </w:rPr>
        <w:t>万元、卫生健康支出</w:t>
      </w:r>
      <w:r>
        <w:rPr>
          <w:rFonts w:ascii="Times New Roman" w:hAnsi="Times New Roman" w:eastAsia="仿宋_GB2312"/>
          <w:sz w:val="32"/>
          <w:szCs w:val="32"/>
        </w:rPr>
        <w:t>45.92</w:t>
      </w:r>
      <w:r>
        <w:rPr>
          <w:rFonts w:hint="eastAsia" w:ascii="Times New Roman" w:hAnsi="仿宋_GB2312" w:eastAsia="仿宋_GB2312"/>
          <w:sz w:val="32"/>
          <w:szCs w:val="32"/>
        </w:rPr>
        <w:t>万元、住房保障支出</w:t>
      </w:r>
      <w:r>
        <w:rPr>
          <w:rFonts w:ascii="Times New Roman" w:hAnsi="Times New Roman" w:eastAsia="仿宋_GB2312"/>
          <w:sz w:val="32"/>
          <w:szCs w:val="32"/>
        </w:rPr>
        <w:t>82.76</w:t>
      </w:r>
      <w:r>
        <w:rPr>
          <w:rFonts w:hint="eastAsia" w:ascii="Times New Roman" w:hAnsi="仿宋_GB2312" w:eastAsia="仿宋_GB2312"/>
          <w:sz w:val="32"/>
          <w:szCs w:val="32"/>
        </w:rPr>
        <w:t>万元。</w:t>
      </w:r>
    </w:p>
    <w:p>
      <w:pPr>
        <w:shd w:val="clear"/>
        <w:spacing w:line="576" w:lineRule="exact"/>
        <w:ind w:firstLine="640" w:firstLineChars="200"/>
        <w:outlineLvl w:val="0"/>
        <w:rPr>
          <w:rFonts w:ascii="Times New Roman" w:hAnsi="Times New Roman" w:eastAsia="黑体"/>
          <w:sz w:val="32"/>
          <w:szCs w:val="32"/>
        </w:rPr>
      </w:pPr>
      <w:bookmarkStart w:id="8" w:name="_Toc28353"/>
      <w:r>
        <w:rPr>
          <w:rFonts w:hint="eastAsia" w:ascii="Times New Roman" w:hAnsi="黑体" w:eastAsia="黑体"/>
          <w:sz w:val="32"/>
          <w:szCs w:val="32"/>
        </w:rPr>
        <w:t>五、一般公共预算当年拨款情况说明</w:t>
      </w:r>
      <w:bookmarkEnd w:id="8"/>
    </w:p>
    <w:p>
      <w:pPr>
        <w:shd w:val="clear"/>
        <w:spacing w:line="576" w:lineRule="exact"/>
        <w:ind w:firstLine="640" w:firstLineChars="200"/>
        <w:outlineLvl w:val="1"/>
        <w:rPr>
          <w:rFonts w:ascii="Times New Roman" w:hAnsi="Times New Roman" w:eastAsia="楷体_GB2312"/>
          <w:sz w:val="32"/>
          <w:szCs w:val="32"/>
        </w:rPr>
      </w:pPr>
      <w:bookmarkStart w:id="9" w:name="_Toc29568"/>
      <w:r>
        <w:rPr>
          <w:rFonts w:hint="eastAsia" w:ascii="Times New Roman" w:hAnsi="楷体_GB2312" w:eastAsia="楷体_GB2312"/>
          <w:sz w:val="32"/>
          <w:szCs w:val="32"/>
        </w:rPr>
        <w:t>（一）一般公共预算当年拨款规模变化情况</w:t>
      </w:r>
      <w:bookmarkEnd w:id="9"/>
    </w:p>
    <w:p>
      <w:pPr>
        <w:shd w:val="clear"/>
        <w:spacing w:line="576" w:lineRule="exact"/>
        <w:ind w:firstLine="640" w:firstLineChars="200"/>
        <w:rPr>
          <w:rFonts w:ascii="Times New Roman" w:hAnsi="Times New Roman" w:eastAsia="仿宋_GB2312"/>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年一般公共预算当年拨款</w:t>
      </w:r>
      <w:r>
        <w:rPr>
          <w:rFonts w:ascii="Times New Roman" w:hAnsi="Times New Roman" w:eastAsia="仿宋_GB2312"/>
          <w:sz w:val="32"/>
          <w:szCs w:val="32"/>
        </w:rPr>
        <w:t>1683.01</w:t>
      </w:r>
      <w:r>
        <w:rPr>
          <w:rFonts w:hint="eastAsia" w:ascii="Times New Roman" w:hAnsi="仿宋_GB2312" w:eastAsia="仿宋_GB2312"/>
          <w:sz w:val="32"/>
          <w:szCs w:val="32"/>
        </w:rPr>
        <w:t>万元，比</w:t>
      </w:r>
      <w:r>
        <w:rPr>
          <w:rFonts w:ascii="Times New Roman" w:hAnsi="Times New Roman" w:eastAsia="仿宋_GB2312"/>
          <w:sz w:val="32"/>
          <w:szCs w:val="32"/>
        </w:rPr>
        <w:t>2023</w:t>
      </w:r>
      <w:r>
        <w:rPr>
          <w:rFonts w:hint="eastAsia" w:ascii="Times New Roman" w:hAnsi="仿宋_GB2312" w:eastAsia="仿宋_GB2312"/>
          <w:sz w:val="32"/>
          <w:szCs w:val="32"/>
        </w:rPr>
        <w:t>年预算数减少</w:t>
      </w:r>
      <w:r>
        <w:rPr>
          <w:rFonts w:ascii="Times New Roman" w:hAnsi="Times New Roman" w:eastAsia="仿宋_GB2312"/>
          <w:sz w:val="32"/>
          <w:szCs w:val="32"/>
        </w:rPr>
        <w:t>21.19</w:t>
      </w:r>
      <w:r>
        <w:rPr>
          <w:rFonts w:hint="eastAsia" w:ascii="Times New Roman" w:hAnsi="仿宋_GB2312" w:eastAsia="仿宋_GB2312"/>
          <w:sz w:val="32"/>
          <w:szCs w:val="32"/>
        </w:rPr>
        <w:t>万元，主要原因是</w:t>
      </w:r>
      <w:r>
        <w:rPr>
          <w:rFonts w:ascii="Times New Roman" w:hAnsi="仿宋_GB2312" w:eastAsia="仿宋_GB2312"/>
          <w:sz w:val="32"/>
          <w:szCs w:val="32"/>
        </w:rPr>
        <w:t>2024</w:t>
      </w:r>
      <w:r>
        <w:rPr>
          <w:rFonts w:hint="eastAsia" w:ascii="Times New Roman" w:hAnsi="仿宋_GB2312" w:eastAsia="仿宋_GB2312"/>
          <w:sz w:val="32"/>
          <w:szCs w:val="32"/>
        </w:rPr>
        <w:t>年人员较上年减少</w:t>
      </w:r>
      <w:r>
        <w:rPr>
          <w:rFonts w:ascii="Times New Roman" w:hAnsi="仿宋_GB2312" w:eastAsia="仿宋_GB2312"/>
          <w:sz w:val="32"/>
          <w:szCs w:val="32"/>
        </w:rPr>
        <w:t>3</w:t>
      </w:r>
      <w:r>
        <w:rPr>
          <w:rFonts w:hint="eastAsia" w:ascii="Times New Roman" w:hAnsi="仿宋_GB2312" w:eastAsia="仿宋_GB2312"/>
          <w:sz w:val="32"/>
          <w:szCs w:val="32"/>
        </w:rPr>
        <w:t>人，人员经费及公用经费相应减少。</w:t>
      </w:r>
    </w:p>
    <w:p>
      <w:pPr>
        <w:shd w:val="clear"/>
        <w:spacing w:line="576" w:lineRule="exact"/>
        <w:ind w:firstLine="640" w:firstLineChars="200"/>
        <w:outlineLvl w:val="1"/>
        <w:rPr>
          <w:rFonts w:ascii="Times New Roman" w:hAnsi="Times New Roman" w:eastAsia="楷体_GB2312"/>
          <w:sz w:val="32"/>
          <w:szCs w:val="32"/>
        </w:rPr>
      </w:pPr>
      <w:bookmarkStart w:id="10" w:name="_Toc6010"/>
      <w:r>
        <w:rPr>
          <w:rFonts w:hint="eastAsia" w:ascii="Times New Roman" w:hAnsi="楷体_GB2312" w:eastAsia="楷体_GB2312"/>
          <w:sz w:val="32"/>
          <w:szCs w:val="32"/>
        </w:rPr>
        <w:t>（二）一般公共预算当年拨款结构情况</w:t>
      </w:r>
      <w:bookmarkEnd w:id="10"/>
    </w:p>
    <w:p>
      <w:pPr>
        <w:shd w:val="clear"/>
        <w:spacing w:line="576" w:lineRule="exact"/>
        <w:ind w:firstLine="640" w:firstLineChars="200"/>
        <w:rPr>
          <w:rFonts w:ascii="Times New Roman" w:hAnsi="Times New Roman" w:eastAsia="仿宋_GB2312"/>
          <w:sz w:val="32"/>
          <w:szCs w:val="32"/>
        </w:rPr>
      </w:pPr>
      <w:r>
        <w:rPr>
          <w:rFonts w:hint="eastAsia" w:ascii="Times New Roman" w:hAnsi="仿宋_GB2312" w:eastAsia="仿宋_GB2312"/>
          <w:sz w:val="32"/>
          <w:szCs w:val="32"/>
        </w:rPr>
        <w:t>公共安全支出</w:t>
      </w:r>
      <w:r>
        <w:rPr>
          <w:rFonts w:ascii="Times New Roman" w:hAnsi="Times New Roman" w:eastAsia="仿宋_GB2312"/>
          <w:sz w:val="32"/>
          <w:szCs w:val="32"/>
        </w:rPr>
        <w:t>1457.72</w:t>
      </w:r>
      <w:r>
        <w:rPr>
          <w:rFonts w:hint="eastAsia" w:ascii="Times New Roman" w:hAnsi="仿宋_GB2312" w:eastAsia="仿宋_GB2312"/>
          <w:sz w:val="32"/>
          <w:szCs w:val="32"/>
        </w:rPr>
        <w:t>万元，占</w:t>
      </w:r>
      <w:r>
        <w:rPr>
          <w:rFonts w:ascii="Times New Roman" w:hAnsi="Times New Roman" w:eastAsia="仿宋_GB2312"/>
          <w:sz w:val="32"/>
          <w:szCs w:val="32"/>
        </w:rPr>
        <w:t>86.61%</w:t>
      </w:r>
      <w:r>
        <w:rPr>
          <w:rFonts w:hint="eastAsia" w:ascii="Times New Roman" w:hAnsi="仿宋_GB2312" w:eastAsia="仿宋_GB2312"/>
          <w:sz w:val="32"/>
          <w:szCs w:val="32"/>
        </w:rPr>
        <w:t>；社会保障和就业支出</w:t>
      </w:r>
      <w:r>
        <w:rPr>
          <w:rFonts w:ascii="Times New Roman" w:hAnsi="Times New Roman" w:eastAsia="仿宋_GB2312"/>
          <w:sz w:val="32"/>
          <w:szCs w:val="32"/>
        </w:rPr>
        <w:t>96.61</w:t>
      </w:r>
      <w:r>
        <w:rPr>
          <w:rFonts w:hint="eastAsia" w:ascii="Times New Roman" w:hAnsi="仿宋_GB2312" w:eastAsia="仿宋_GB2312"/>
          <w:sz w:val="32"/>
          <w:szCs w:val="32"/>
        </w:rPr>
        <w:t>万元，占</w:t>
      </w:r>
      <w:r>
        <w:rPr>
          <w:rFonts w:ascii="Times New Roman" w:hAnsi="Times New Roman" w:eastAsia="仿宋_GB2312"/>
          <w:sz w:val="32"/>
          <w:szCs w:val="32"/>
        </w:rPr>
        <w:t>5.74%</w:t>
      </w:r>
      <w:r>
        <w:rPr>
          <w:rFonts w:hint="eastAsia" w:ascii="Times New Roman" w:hAnsi="仿宋_GB2312" w:eastAsia="仿宋_GB2312"/>
          <w:sz w:val="32"/>
          <w:szCs w:val="32"/>
        </w:rPr>
        <w:t>；卫生健康支出</w:t>
      </w:r>
      <w:r>
        <w:rPr>
          <w:rFonts w:ascii="Times New Roman" w:hAnsi="Times New Roman" w:eastAsia="仿宋_GB2312"/>
          <w:sz w:val="32"/>
          <w:szCs w:val="32"/>
        </w:rPr>
        <w:t>45.92</w:t>
      </w:r>
      <w:r>
        <w:rPr>
          <w:rFonts w:hint="eastAsia" w:ascii="Times New Roman" w:hAnsi="仿宋_GB2312" w:eastAsia="仿宋_GB2312"/>
          <w:sz w:val="32"/>
          <w:szCs w:val="32"/>
        </w:rPr>
        <w:t>万元，占</w:t>
      </w:r>
      <w:r>
        <w:rPr>
          <w:rFonts w:ascii="Times New Roman" w:hAnsi="Times New Roman" w:eastAsia="仿宋_GB2312"/>
          <w:sz w:val="32"/>
          <w:szCs w:val="32"/>
        </w:rPr>
        <w:t>2.73%</w:t>
      </w:r>
      <w:r>
        <w:rPr>
          <w:rFonts w:hint="eastAsia" w:ascii="Times New Roman" w:hAnsi="仿宋_GB2312" w:eastAsia="仿宋_GB2312"/>
          <w:sz w:val="32"/>
          <w:szCs w:val="32"/>
        </w:rPr>
        <w:t>；住房保障支出</w:t>
      </w:r>
      <w:r>
        <w:rPr>
          <w:rFonts w:ascii="Times New Roman" w:hAnsi="Times New Roman" w:eastAsia="仿宋_GB2312"/>
          <w:sz w:val="32"/>
          <w:szCs w:val="32"/>
        </w:rPr>
        <w:t>82.76</w:t>
      </w:r>
      <w:r>
        <w:rPr>
          <w:rFonts w:hint="eastAsia" w:ascii="Times New Roman" w:hAnsi="仿宋_GB2312" w:eastAsia="仿宋_GB2312"/>
          <w:sz w:val="32"/>
          <w:szCs w:val="32"/>
        </w:rPr>
        <w:t>万元，占</w:t>
      </w:r>
      <w:r>
        <w:rPr>
          <w:rFonts w:ascii="Times New Roman" w:hAnsi="Times New Roman" w:eastAsia="仿宋_GB2312"/>
          <w:sz w:val="32"/>
          <w:szCs w:val="32"/>
        </w:rPr>
        <w:t>4.92%</w:t>
      </w:r>
      <w:r>
        <w:rPr>
          <w:rFonts w:hint="eastAsia" w:ascii="Times New Roman" w:hAnsi="仿宋_GB2312" w:eastAsia="仿宋_GB2312"/>
          <w:sz w:val="32"/>
          <w:szCs w:val="32"/>
        </w:rPr>
        <w:t>。</w:t>
      </w:r>
    </w:p>
    <w:p>
      <w:pPr>
        <w:shd w:val="clear"/>
        <w:spacing w:line="576" w:lineRule="exact"/>
        <w:ind w:firstLine="640" w:firstLineChars="200"/>
        <w:outlineLvl w:val="1"/>
        <w:rPr>
          <w:rFonts w:ascii="Times New Roman" w:hAnsi="Times New Roman" w:eastAsia="楷体_GB2312"/>
          <w:sz w:val="32"/>
          <w:szCs w:val="32"/>
        </w:rPr>
      </w:pPr>
      <w:bookmarkStart w:id="11" w:name="_Toc13851"/>
      <w:r>
        <w:rPr>
          <w:rFonts w:hint="eastAsia" w:ascii="Times New Roman" w:hAnsi="楷体_GB2312" w:eastAsia="楷体_GB2312"/>
          <w:sz w:val="32"/>
          <w:szCs w:val="32"/>
        </w:rPr>
        <w:t>（三）一般公共预算当年拨款具体使用情况</w:t>
      </w:r>
      <w:bookmarkEnd w:id="11"/>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ascii="仿宋_GB2312" w:hAnsi="宋体" w:eastAsia="仿宋_GB2312"/>
          <w:color w:val="333333"/>
          <w:kern w:val="0"/>
          <w:sz w:val="32"/>
          <w:szCs w:val="32"/>
        </w:rPr>
        <w:t xml:space="preserve"> </w:t>
      </w:r>
      <w:r>
        <w:rPr>
          <w:rFonts w:hint="eastAsia" w:ascii="仿宋_GB2312" w:hAnsi="宋体" w:eastAsia="仿宋_GB2312"/>
          <w:color w:val="333333"/>
          <w:kern w:val="0"/>
          <w:sz w:val="32"/>
          <w:szCs w:val="32"/>
        </w:rPr>
        <w:t>公共安全（类）法院（款）行政运行</w:t>
      </w:r>
      <w:r>
        <w:rPr>
          <w:rFonts w:hint="eastAsia" w:ascii="仿宋_GB2312" w:hAnsi="宋体" w:eastAsia="仿宋_GB2312"/>
          <w:color w:val="333333"/>
          <w:kern w:val="0"/>
          <w:sz w:val="32"/>
          <w:szCs w:val="32"/>
          <w:shd w:val="clear" w:color="auto" w:fill="FFFFFF"/>
        </w:rPr>
        <w:t>（项）</w:t>
      </w:r>
      <w:r>
        <w:rPr>
          <w:rFonts w:ascii="Times New Roman" w:hAnsi="Times New Roman" w:eastAsia="仿宋_GB2312"/>
          <w:sz w:val="32"/>
          <w:szCs w:val="32"/>
        </w:rPr>
        <w:t>2024</w:t>
      </w:r>
      <w:r>
        <w:rPr>
          <w:rFonts w:hint="eastAsia" w:ascii="Times New Roman" w:hAnsi="仿宋_GB2312" w:eastAsia="仿宋_GB2312"/>
          <w:sz w:val="32"/>
          <w:szCs w:val="32"/>
        </w:rPr>
        <w:t>年预算数为</w:t>
      </w:r>
      <w:r>
        <w:rPr>
          <w:rFonts w:ascii="Times New Roman" w:hAnsi="Times New Roman" w:eastAsia="仿宋_GB2312"/>
          <w:sz w:val="32"/>
          <w:szCs w:val="32"/>
        </w:rPr>
        <w:t>1297.06</w:t>
      </w:r>
      <w:r>
        <w:rPr>
          <w:rFonts w:hint="eastAsia" w:ascii="Times New Roman" w:hAnsi="仿宋_GB2312" w:eastAsia="仿宋_GB2312"/>
          <w:sz w:val="32"/>
          <w:szCs w:val="32"/>
        </w:rPr>
        <w:t>万元，主要用于：我院人员经费、日常公用经费支出。</w:t>
      </w:r>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ascii="仿宋_GB2312" w:hAnsi="宋体" w:eastAsia="仿宋_GB2312"/>
          <w:color w:val="333333"/>
          <w:kern w:val="0"/>
          <w:sz w:val="32"/>
          <w:szCs w:val="32"/>
        </w:rPr>
        <w:t xml:space="preserve"> </w:t>
      </w:r>
      <w:r>
        <w:rPr>
          <w:rFonts w:hint="eastAsia" w:ascii="仿宋_GB2312" w:hAnsi="宋体" w:eastAsia="仿宋_GB2312"/>
          <w:color w:val="333333"/>
          <w:kern w:val="0"/>
          <w:sz w:val="32"/>
          <w:szCs w:val="32"/>
        </w:rPr>
        <w:t>公共安全（类）法院（款）</w:t>
      </w:r>
      <w:r>
        <w:rPr>
          <w:rFonts w:ascii="Times New Roman" w:hAnsi="Times New Roman" w:eastAsia="仿宋_GB2312"/>
          <w:color w:val="333333"/>
          <w:kern w:val="0"/>
          <w:sz w:val="32"/>
          <w:szCs w:val="32"/>
        </w:rPr>
        <w:t> </w:t>
      </w:r>
      <w:r>
        <w:rPr>
          <w:rFonts w:hint="eastAsia" w:ascii="仿宋_GB2312" w:hAnsi="宋体" w:eastAsia="仿宋_GB2312"/>
          <w:color w:val="333333"/>
          <w:kern w:val="0"/>
          <w:sz w:val="32"/>
          <w:szCs w:val="32"/>
        </w:rPr>
        <w:t>一般行政管理事务</w:t>
      </w:r>
      <w:r>
        <w:rPr>
          <w:rFonts w:hint="eastAsia" w:ascii="仿宋_GB2312" w:hAnsi="宋体" w:eastAsia="仿宋_GB2312"/>
          <w:color w:val="333333"/>
          <w:kern w:val="0"/>
          <w:sz w:val="32"/>
          <w:szCs w:val="32"/>
          <w:shd w:val="clear" w:color="auto" w:fill="FFFFFF"/>
        </w:rPr>
        <w:t>（项）</w:t>
      </w:r>
      <w:r>
        <w:rPr>
          <w:rFonts w:ascii="Times New Roman" w:hAnsi="Times New Roman" w:eastAsia="仿宋_GB2312"/>
          <w:sz w:val="32"/>
          <w:szCs w:val="32"/>
        </w:rPr>
        <w:t>2024</w:t>
      </w:r>
      <w:r>
        <w:rPr>
          <w:rFonts w:hint="eastAsia" w:ascii="Times New Roman" w:hAnsi="仿宋_GB2312" w:eastAsia="仿宋_GB2312"/>
          <w:sz w:val="32"/>
          <w:szCs w:val="32"/>
        </w:rPr>
        <w:t>年预算数为</w:t>
      </w:r>
      <w:r>
        <w:rPr>
          <w:rFonts w:ascii="Times New Roman" w:hAnsi="Times New Roman" w:eastAsia="仿宋_GB2312"/>
          <w:sz w:val="32"/>
          <w:szCs w:val="32"/>
        </w:rPr>
        <w:t>160.66</w:t>
      </w:r>
      <w:r>
        <w:rPr>
          <w:rFonts w:hint="eastAsia" w:ascii="Times New Roman" w:hAnsi="仿宋_GB2312" w:eastAsia="仿宋_GB2312"/>
          <w:sz w:val="32"/>
          <w:szCs w:val="32"/>
        </w:rPr>
        <w:t>万元，主要用于：</w:t>
      </w:r>
      <w:r>
        <w:rPr>
          <w:rFonts w:hint="eastAsia" w:ascii="仿宋_GB2312" w:hAnsi="宋体" w:eastAsia="仿宋_GB2312"/>
          <w:color w:val="333333"/>
          <w:kern w:val="0"/>
          <w:sz w:val="32"/>
          <w:szCs w:val="32"/>
          <w:shd w:val="clear" w:color="auto" w:fill="FFFFFF"/>
        </w:rPr>
        <w:t>案件审理执行经费、人民陪审员经费、派出法庭运转及维修维护经费、业务网络专线租赁及办公办案系统运行经费等支出</w:t>
      </w:r>
      <w:r>
        <w:rPr>
          <w:rFonts w:hint="eastAsia" w:ascii="Times New Roman" w:hAnsi="仿宋_GB2312" w:eastAsia="仿宋_GB2312"/>
          <w:sz w:val="32"/>
          <w:szCs w:val="32"/>
        </w:rPr>
        <w:t>。</w:t>
      </w:r>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仿宋_GB2312" w:eastAsia="仿宋_GB2312"/>
          <w:sz w:val="32"/>
          <w:szCs w:val="32"/>
        </w:rPr>
        <w:t>社会保障和就业（类）行政事业单位养老支出（款）机关事业单位基本养老保险缴费支出（项）</w:t>
      </w:r>
      <w:r>
        <w:rPr>
          <w:rFonts w:ascii="Times New Roman" w:hAnsi="Times New Roman" w:eastAsia="仿宋_GB2312"/>
          <w:sz w:val="32"/>
          <w:szCs w:val="32"/>
        </w:rPr>
        <w:t>2024</w:t>
      </w:r>
      <w:r>
        <w:rPr>
          <w:rFonts w:hint="eastAsia" w:ascii="Times New Roman" w:hAnsi="仿宋_GB2312" w:eastAsia="仿宋_GB2312"/>
          <w:sz w:val="32"/>
          <w:szCs w:val="32"/>
        </w:rPr>
        <w:t>年预算数为</w:t>
      </w:r>
      <w:r>
        <w:rPr>
          <w:rFonts w:ascii="Times New Roman" w:hAnsi="Times New Roman" w:eastAsia="仿宋_GB2312"/>
          <w:sz w:val="32"/>
          <w:szCs w:val="32"/>
        </w:rPr>
        <w:t>96.61</w:t>
      </w:r>
      <w:r>
        <w:rPr>
          <w:rFonts w:hint="eastAsia" w:ascii="Times New Roman" w:hAnsi="仿宋_GB2312" w:eastAsia="仿宋_GB2312"/>
          <w:sz w:val="32"/>
          <w:szCs w:val="32"/>
        </w:rPr>
        <w:t>万元，主要用于：实施养老保险制度由单位缴纳的基本养老保险支出。</w:t>
      </w:r>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仿宋_GB2312" w:eastAsia="仿宋_GB2312"/>
          <w:sz w:val="32"/>
          <w:szCs w:val="32"/>
        </w:rPr>
        <w:t>卫生健康（类）行政事业单位医疗（款）行政单位医疗（项）</w:t>
      </w:r>
      <w:r>
        <w:rPr>
          <w:rFonts w:ascii="Times New Roman" w:hAnsi="Times New Roman" w:eastAsia="仿宋_GB2312"/>
          <w:sz w:val="32"/>
          <w:szCs w:val="32"/>
        </w:rPr>
        <w:t>2024</w:t>
      </w:r>
      <w:r>
        <w:rPr>
          <w:rFonts w:hint="eastAsia" w:ascii="Times New Roman" w:hAnsi="仿宋_GB2312" w:eastAsia="仿宋_GB2312"/>
          <w:sz w:val="32"/>
          <w:szCs w:val="32"/>
        </w:rPr>
        <w:t>年预算数为</w:t>
      </w:r>
      <w:r>
        <w:rPr>
          <w:rFonts w:ascii="Times New Roman" w:hAnsi="Times New Roman" w:eastAsia="仿宋_GB2312"/>
          <w:sz w:val="32"/>
          <w:szCs w:val="32"/>
        </w:rPr>
        <w:t>45.92</w:t>
      </w:r>
      <w:r>
        <w:rPr>
          <w:rFonts w:hint="eastAsia" w:ascii="Times New Roman" w:hAnsi="仿宋_GB2312" w:eastAsia="仿宋_GB2312"/>
          <w:sz w:val="32"/>
          <w:szCs w:val="32"/>
        </w:rPr>
        <w:t>万元，主要用于：机关及参公管理事业单位按规定由单位缴纳的基本医疗保险支出。</w:t>
      </w:r>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仿宋_GB2312" w:eastAsia="仿宋_GB2312"/>
          <w:sz w:val="32"/>
          <w:szCs w:val="32"/>
        </w:rPr>
        <w:t>住房保障（类）住房改革支出（款）住房公积金（项）</w:t>
      </w:r>
      <w:r>
        <w:rPr>
          <w:rFonts w:ascii="Times New Roman" w:hAnsi="Times New Roman" w:eastAsia="仿宋_GB2312"/>
          <w:sz w:val="32"/>
          <w:szCs w:val="32"/>
        </w:rPr>
        <w:t>2024</w:t>
      </w:r>
      <w:r>
        <w:rPr>
          <w:rFonts w:hint="eastAsia" w:ascii="Times New Roman" w:hAnsi="仿宋_GB2312" w:eastAsia="仿宋_GB2312"/>
          <w:sz w:val="32"/>
          <w:szCs w:val="32"/>
        </w:rPr>
        <w:t>年预算数为</w:t>
      </w:r>
      <w:r>
        <w:rPr>
          <w:rFonts w:ascii="Times New Roman" w:hAnsi="Times New Roman" w:eastAsia="仿宋_GB2312"/>
          <w:sz w:val="32"/>
          <w:szCs w:val="32"/>
        </w:rPr>
        <w:t>82.76</w:t>
      </w:r>
      <w:r>
        <w:rPr>
          <w:rFonts w:hint="eastAsia" w:ascii="Times New Roman" w:hAnsi="仿宋_GB2312" w:eastAsia="仿宋_GB2312"/>
          <w:sz w:val="32"/>
          <w:szCs w:val="32"/>
        </w:rPr>
        <w:t>万元，主要用于：部门按规定为职工缴纳的住房公积金支出。</w:t>
      </w:r>
    </w:p>
    <w:p>
      <w:pPr>
        <w:shd w:val="clear"/>
        <w:spacing w:line="576" w:lineRule="exact"/>
        <w:ind w:firstLine="640" w:firstLineChars="200"/>
        <w:outlineLvl w:val="0"/>
        <w:rPr>
          <w:rFonts w:ascii="Times New Roman" w:hAnsi="Times New Roman" w:eastAsia="黑体"/>
          <w:sz w:val="32"/>
          <w:szCs w:val="32"/>
        </w:rPr>
      </w:pPr>
      <w:bookmarkStart w:id="12" w:name="_Toc5890"/>
      <w:r>
        <w:rPr>
          <w:rFonts w:hint="eastAsia" w:ascii="Times New Roman" w:hAnsi="黑体" w:eastAsia="黑体"/>
          <w:sz w:val="32"/>
          <w:szCs w:val="32"/>
        </w:rPr>
        <w:t>六、一般公共预算基本支出情况说明</w:t>
      </w:r>
      <w:bookmarkEnd w:id="12"/>
    </w:p>
    <w:p>
      <w:pPr>
        <w:shd w:val="clear"/>
        <w:spacing w:line="576" w:lineRule="exact"/>
        <w:ind w:firstLine="640" w:firstLineChars="200"/>
        <w:rPr>
          <w:rFonts w:ascii="Times New Roman" w:hAnsi="Times New Roman" w:eastAsia="仿宋_GB2312"/>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年一般公共预算基本支出</w:t>
      </w:r>
      <w:r>
        <w:rPr>
          <w:rFonts w:ascii="Times New Roman" w:hAnsi="Times New Roman" w:eastAsia="仿宋_GB2312"/>
          <w:sz w:val="32"/>
          <w:szCs w:val="32"/>
        </w:rPr>
        <w:t>1360.53</w:t>
      </w:r>
      <w:r>
        <w:rPr>
          <w:rFonts w:hint="eastAsia" w:ascii="Times New Roman" w:hAnsi="仿宋_GB2312" w:eastAsia="仿宋_GB2312"/>
          <w:sz w:val="32"/>
          <w:szCs w:val="32"/>
        </w:rPr>
        <w:t>万元，其中：</w:t>
      </w:r>
    </w:p>
    <w:p>
      <w:pPr>
        <w:shd w:val="clear"/>
        <w:spacing w:line="576" w:lineRule="exact"/>
        <w:ind w:firstLine="640" w:firstLineChars="200"/>
        <w:rPr>
          <w:rFonts w:ascii="Times New Roman" w:hAnsi="Times New Roman" w:eastAsia="仿宋_GB2312"/>
          <w:sz w:val="32"/>
          <w:szCs w:val="32"/>
        </w:rPr>
      </w:pPr>
      <w:r>
        <w:rPr>
          <w:rFonts w:hint="eastAsia" w:ascii="Times New Roman" w:hAnsi="仿宋_GB2312" w:eastAsia="仿宋_GB2312"/>
          <w:sz w:val="32"/>
          <w:szCs w:val="32"/>
        </w:rPr>
        <w:t>人员经费</w:t>
      </w:r>
      <w:r>
        <w:rPr>
          <w:rFonts w:ascii="Times New Roman" w:hAnsi="Times New Roman" w:eastAsia="仿宋_GB2312"/>
          <w:sz w:val="32"/>
          <w:szCs w:val="32"/>
        </w:rPr>
        <w:t>1152.75</w:t>
      </w:r>
      <w:r>
        <w:rPr>
          <w:rFonts w:hint="eastAsia" w:ascii="Times New Roman" w:hAnsi="仿宋_GB2312" w:eastAsia="仿宋_GB2312"/>
          <w:sz w:val="32"/>
          <w:szCs w:val="32"/>
        </w:rPr>
        <w:t>万元，主要包括：基本工资、津贴补贴、奖金、机关事业单位基本养老保险缴费、职工基本医疗保险缴费</w:t>
      </w:r>
      <w:r>
        <w:rPr>
          <w:rFonts w:hint="eastAsia" w:ascii="Times New Roman" w:hAnsi="仿宋_GB2312" w:eastAsia="仿宋_GB2312"/>
          <w:color w:val="FF0000"/>
          <w:sz w:val="32"/>
          <w:szCs w:val="32"/>
        </w:rPr>
        <w:t>、</w:t>
      </w:r>
      <w:r>
        <w:rPr>
          <w:rFonts w:hint="eastAsia" w:ascii="Times New Roman" w:hAnsi="仿宋_GB2312" w:eastAsia="仿宋_GB2312"/>
          <w:sz w:val="32"/>
          <w:szCs w:val="32"/>
        </w:rPr>
        <w:t>其他社会保障缴费、住房公积金、其他工资福利支出、生活补助等支出。</w:t>
      </w:r>
    </w:p>
    <w:p>
      <w:pPr>
        <w:shd w:val="clear"/>
        <w:spacing w:line="576" w:lineRule="exact"/>
        <w:ind w:firstLine="640" w:firstLineChars="200"/>
        <w:rPr>
          <w:rFonts w:ascii="Times New Roman" w:hAnsi="Times New Roman" w:eastAsia="仿宋_GB2312"/>
          <w:sz w:val="32"/>
          <w:szCs w:val="32"/>
        </w:rPr>
      </w:pPr>
      <w:r>
        <w:rPr>
          <w:rFonts w:hint="eastAsia" w:ascii="Times New Roman" w:hAnsi="仿宋_GB2312" w:eastAsia="仿宋_GB2312"/>
          <w:sz w:val="32"/>
          <w:szCs w:val="32"/>
        </w:rPr>
        <w:t>公用经费</w:t>
      </w:r>
      <w:r>
        <w:rPr>
          <w:rFonts w:ascii="Times New Roman" w:hAnsi="Times New Roman" w:eastAsia="仿宋_GB2312"/>
          <w:sz w:val="32"/>
          <w:szCs w:val="32"/>
        </w:rPr>
        <w:t>207.78</w:t>
      </w:r>
      <w:r>
        <w:rPr>
          <w:rFonts w:hint="eastAsia" w:ascii="Times New Roman" w:hAnsi="仿宋_GB2312" w:eastAsia="仿宋_GB2312"/>
          <w:sz w:val="32"/>
          <w:szCs w:val="32"/>
        </w:rPr>
        <w:t>万元，主要包括：办公费、印刷费、手续费、水费、电费、邮电费、差旅费、维修（护）费、培训费、公务接待费、工会经费、福利费、公务用车运行维护费、其他交通费用、其他商品和服务支出等支出。</w:t>
      </w:r>
    </w:p>
    <w:p>
      <w:pPr>
        <w:shd w:val="clear"/>
        <w:spacing w:line="576" w:lineRule="exact"/>
        <w:ind w:firstLine="640" w:firstLineChars="200"/>
        <w:outlineLvl w:val="0"/>
        <w:rPr>
          <w:rFonts w:ascii="Times New Roman" w:hAnsi="Times New Roman" w:eastAsia="黑体"/>
          <w:sz w:val="32"/>
          <w:szCs w:val="32"/>
        </w:rPr>
      </w:pPr>
      <w:bookmarkStart w:id="13" w:name="_Toc26778"/>
      <w:r>
        <w:rPr>
          <w:rFonts w:hint="eastAsia" w:ascii="Times New Roman" w:hAnsi="黑体" w:eastAsia="黑体"/>
          <w:sz w:val="32"/>
          <w:szCs w:val="32"/>
        </w:rPr>
        <w:t>七、</w:t>
      </w:r>
      <w:r>
        <w:rPr>
          <w:rFonts w:ascii="Times New Roman" w:hAnsi="Times New Roman" w:eastAsia="黑体"/>
          <w:sz w:val="32"/>
          <w:szCs w:val="32"/>
        </w:rPr>
        <w:t>“</w:t>
      </w:r>
      <w:r>
        <w:rPr>
          <w:rFonts w:hint="eastAsia" w:ascii="Times New Roman" w:hAnsi="黑体" w:eastAsia="黑体"/>
          <w:sz w:val="32"/>
          <w:szCs w:val="32"/>
        </w:rPr>
        <w:t>三公</w:t>
      </w:r>
      <w:r>
        <w:rPr>
          <w:rFonts w:ascii="Times New Roman" w:hAnsi="Times New Roman" w:eastAsia="黑体"/>
          <w:sz w:val="32"/>
          <w:szCs w:val="32"/>
        </w:rPr>
        <w:t>”</w:t>
      </w:r>
      <w:r>
        <w:rPr>
          <w:rFonts w:hint="eastAsia" w:ascii="Times New Roman" w:hAnsi="黑体" w:eastAsia="黑体"/>
          <w:sz w:val="32"/>
          <w:szCs w:val="32"/>
        </w:rPr>
        <w:t>经费财政拨款预算安排情况说明</w:t>
      </w:r>
      <w:bookmarkEnd w:id="13"/>
    </w:p>
    <w:p>
      <w:pPr>
        <w:shd w:val="clear"/>
        <w:spacing w:line="576" w:lineRule="exact"/>
        <w:ind w:firstLine="640" w:firstLineChars="200"/>
        <w:rPr>
          <w:rFonts w:ascii="Times New Roman" w:hAnsi="Times New Roman" w:eastAsia="仿宋_GB2312"/>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w:t>
      </w:r>
      <w:r>
        <w:rPr>
          <w:rFonts w:ascii="Times New Roman" w:hAnsi="Times New Roman" w:eastAsia="仿宋_GB2312"/>
          <w:sz w:val="32"/>
          <w:szCs w:val="32"/>
        </w:rPr>
        <w:t>“</w:t>
      </w:r>
      <w:r>
        <w:rPr>
          <w:rFonts w:hint="eastAsia" w:ascii="Times New Roman" w:hAnsi="仿宋_GB2312" w:eastAsia="仿宋_GB2312"/>
          <w:sz w:val="32"/>
          <w:szCs w:val="32"/>
        </w:rPr>
        <w:t>三公</w:t>
      </w:r>
      <w:r>
        <w:rPr>
          <w:rFonts w:ascii="Times New Roman" w:hAnsi="Times New Roman" w:eastAsia="仿宋_GB2312"/>
          <w:sz w:val="32"/>
          <w:szCs w:val="32"/>
        </w:rPr>
        <w:t>”</w:t>
      </w:r>
      <w:r>
        <w:rPr>
          <w:rFonts w:hint="eastAsia" w:ascii="Times New Roman" w:hAnsi="仿宋_GB2312" w:eastAsia="仿宋_GB2312"/>
          <w:sz w:val="32"/>
          <w:szCs w:val="32"/>
        </w:rPr>
        <w:t>经费财政拨款预算数</w:t>
      </w:r>
      <w:r>
        <w:rPr>
          <w:rFonts w:ascii="Times New Roman" w:hAnsi="Times New Roman" w:eastAsia="仿宋_GB2312"/>
          <w:sz w:val="32"/>
          <w:szCs w:val="32"/>
        </w:rPr>
        <w:t>35.6</w:t>
      </w:r>
      <w:r>
        <w:rPr>
          <w:rFonts w:hint="eastAsia" w:ascii="Times New Roman" w:hAnsi="仿宋_GB2312" w:eastAsia="仿宋_GB2312"/>
          <w:sz w:val="32"/>
          <w:szCs w:val="32"/>
        </w:rPr>
        <w:t>万元，其中：公务接待费</w:t>
      </w:r>
      <w:r>
        <w:rPr>
          <w:rFonts w:ascii="Times New Roman" w:hAnsi="Times New Roman" w:eastAsia="仿宋_GB2312"/>
          <w:sz w:val="32"/>
          <w:szCs w:val="32"/>
        </w:rPr>
        <w:t>9.6</w:t>
      </w:r>
      <w:r>
        <w:rPr>
          <w:rFonts w:hint="eastAsia" w:ascii="Times New Roman" w:hAnsi="仿宋_GB2312" w:eastAsia="仿宋_GB2312"/>
          <w:sz w:val="32"/>
          <w:szCs w:val="32"/>
        </w:rPr>
        <w:t>万元，公务用车购置及运行维护费</w:t>
      </w:r>
      <w:r>
        <w:rPr>
          <w:rFonts w:ascii="Times New Roman" w:hAnsi="Times New Roman" w:eastAsia="仿宋_GB2312"/>
          <w:sz w:val="32"/>
          <w:szCs w:val="32"/>
        </w:rPr>
        <w:t>26</w:t>
      </w:r>
      <w:r>
        <w:rPr>
          <w:rFonts w:hint="eastAsia" w:ascii="Times New Roman" w:hAnsi="仿宋_GB2312" w:eastAsia="仿宋_GB2312"/>
          <w:sz w:val="32"/>
          <w:szCs w:val="32"/>
        </w:rPr>
        <w:t>万元，因公出国（境）经费</w:t>
      </w:r>
      <w:r>
        <w:rPr>
          <w:rFonts w:ascii="Times New Roman" w:hAnsi="Times New Roman" w:eastAsia="仿宋_GB2312"/>
          <w:sz w:val="32"/>
          <w:szCs w:val="32"/>
        </w:rPr>
        <w:t>0</w:t>
      </w:r>
      <w:r>
        <w:rPr>
          <w:rFonts w:hint="eastAsia" w:ascii="Times New Roman" w:hAnsi="仿宋_GB2312" w:eastAsia="仿宋_GB2312"/>
          <w:sz w:val="32"/>
          <w:szCs w:val="32"/>
        </w:rPr>
        <w:t>万元。</w:t>
      </w:r>
    </w:p>
    <w:p>
      <w:pPr>
        <w:shd w:val="clear"/>
        <w:spacing w:line="576" w:lineRule="exact"/>
        <w:ind w:firstLine="640" w:firstLineChars="200"/>
        <w:outlineLvl w:val="1"/>
        <w:rPr>
          <w:rFonts w:ascii="Times New Roman" w:hAnsi="Times New Roman" w:eastAsia="楷体_GB2312"/>
          <w:sz w:val="32"/>
          <w:szCs w:val="32"/>
        </w:rPr>
      </w:pPr>
      <w:bookmarkStart w:id="14" w:name="_Toc22230"/>
      <w:r>
        <w:rPr>
          <w:rFonts w:hint="eastAsia" w:ascii="Times New Roman" w:hAnsi="楷体_GB2312" w:eastAsia="楷体_GB2312"/>
          <w:sz w:val="32"/>
          <w:szCs w:val="32"/>
        </w:rPr>
        <w:t>（一）公务接待费</w:t>
      </w:r>
      <w:bookmarkEnd w:id="14"/>
    </w:p>
    <w:p>
      <w:pPr>
        <w:shd w:val="clear"/>
        <w:spacing w:line="576" w:lineRule="exact"/>
        <w:ind w:firstLine="640" w:firstLineChars="200"/>
        <w:rPr>
          <w:rFonts w:ascii="Times New Roman" w:hAnsi="Times New Roman" w:eastAsia="仿宋_GB2312"/>
          <w:sz w:val="32"/>
          <w:szCs w:val="32"/>
        </w:rPr>
      </w:pPr>
      <w:r>
        <w:rPr>
          <w:rFonts w:hint="eastAsia" w:ascii="Times New Roman" w:hAnsi="仿宋_GB2312" w:eastAsia="仿宋_GB2312"/>
          <w:sz w:val="32"/>
          <w:szCs w:val="32"/>
        </w:rPr>
        <w:t>公务接待费与</w:t>
      </w:r>
      <w:r>
        <w:rPr>
          <w:rFonts w:ascii="Times New Roman" w:hAnsi="Times New Roman" w:eastAsia="仿宋_GB2312"/>
          <w:sz w:val="32"/>
          <w:szCs w:val="32"/>
        </w:rPr>
        <w:t>2023</w:t>
      </w:r>
      <w:r>
        <w:rPr>
          <w:rFonts w:hint="eastAsia" w:ascii="Times New Roman" w:hAnsi="仿宋_GB2312" w:eastAsia="仿宋_GB2312"/>
          <w:sz w:val="32"/>
          <w:szCs w:val="32"/>
        </w:rPr>
        <w:t>年预算相比持平。</w:t>
      </w:r>
    </w:p>
    <w:p>
      <w:pPr>
        <w:shd w:val="clear"/>
        <w:spacing w:line="576" w:lineRule="exact"/>
        <w:ind w:firstLine="640" w:firstLineChars="200"/>
        <w:rPr>
          <w:rFonts w:ascii="Times New Roman" w:hAnsi="Times New Roman" w:eastAsia="仿宋_GB2312"/>
          <w:b/>
          <w:bCs/>
          <w:color w:val="FF0000"/>
          <w:sz w:val="32"/>
          <w:szCs w:val="32"/>
        </w:rPr>
      </w:pPr>
      <w:r>
        <w:rPr>
          <w:rFonts w:ascii="Times New Roman" w:hAnsi="Times New Roman" w:eastAsia="仿宋_GB2312"/>
          <w:sz w:val="32"/>
          <w:szCs w:val="32"/>
        </w:rPr>
        <w:t>2024</w:t>
      </w:r>
      <w:r>
        <w:rPr>
          <w:rFonts w:hint="eastAsia" w:ascii="Times New Roman" w:hAnsi="仿宋_GB2312" w:eastAsia="仿宋_GB2312"/>
          <w:sz w:val="32"/>
          <w:szCs w:val="32"/>
        </w:rPr>
        <w:t>年公务接待费计划用于执行接待考察调研、检查指导等公务活动开支的交通费、住宿费、用餐费等。</w:t>
      </w:r>
    </w:p>
    <w:p>
      <w:pPr>
        <w:numPr>
          <w:ilvl w:val="0"/>
          <w:numId w:val="1"/>
        </w:numPr>
        <w:shd w:val="clear"/>
        <w:spacing w:line="576" w:lineRule="exact"/>
        <w:ind w:firstLine="640" w:firstLineChars="200"/>
        <w:outlineLvl w:val="1"/>
        <w:rPr>
          <w:rFonts w:ascii="Times New Roman" w:hAnsi="Times New Roman" w:eastAsia="楷体_GB2312"/>
          <w:sz w:val="32"/>
          <w:szCs w:val="32"/>
        </w:rPr>
      </w:pPr>
      <w:bookmarkStart w:id="15" w:name="_Toc25419"/>
      <w:r>
        <w:rPr>
          <w:rFonts w:hint="eastAsia" w:ascii="Times New Roman" w:hAnsi="楷体_GB2312" w:eastAsia="楷体_GB2312"/>
          <w:sz w:val="32"/>
          <w:szCs w:val="32"/>
        </w:rPr>
        <w:t>公务用车购置及运行维护费</w:t>
      </w:r>
      <w:bookmarkEnd w:id="15"/>
    </w:p>
    <w:p>
      <w:pPr>
        <w:shd w:val="clear"/>
        <w:spacing w:line="576" w:lineRule="exact"/>
        <w:ind w:firstLine="640" w:firstLineChars="200"/>
        <w:rPr>
          <w:rFonts w:ascii="Times New Roman" w:hAnsi="Times New Roman" w:eastAsia="仿宋_GB2312"/>
          <w:b/>
          <w:bCs/>
          <w:color w:val="FF0000"/>
          <w:sz w:val="32"/>
          <w:szCs w:val="32"/>
        </w:rPr>
      </w:pPr>
      <w:r>
        <w:rPr>
          <w:rFonts w:hint="eastAsia" w:ascii="Times New Roman" w:hAnsi="仿宋_GB2312" w:eastAsia="仿宋_GB2312"/>
          <w:sz w:val="32"/>
          <w:szCs w:val="32"/>
        </w:rPr>
        <w:t>公务用车购置及运行维护费与</w:t>
      </w:r>
      <w:r>
        <w:rPr>
          <w:rFonts w:ascii="Times New Roman" w:hAnsi="Times New Roman" w:eastAsia="仿宋_GB2312"/>
          <w:sz w:val="32"/>
          <w:szCs w:val="32"/>
        </w:rPr>
        <w:t>2023</w:t>
      </w:r>
      <w:r>
        <w:rPr>
          <w:rFonts w:hint="eastAsia" w:ascii="Times New Roman" w:hAnsi="仿宋_GB2312" w:eastAsia="仿宋_GB2312"/>
          <w:sz w:val="32"/>
          <w:szCs w:val="32"/>
        </w:rPr>
        <w:t>年预算相比持平。</w:t>
      </w:r>
    </w:p>
    <w:p>
      <w:pPr>
        <w:shd w:val="clear"/>
        <w:spacing w:line="576" w:lineRule="exact"/>
        <w:ind w:firstLine="640" w:firstLineChars="200"/>
        <w:rPr>
          <w:rFonts w:ascii="Times New Roman" w:hAnsi="Times New Roman" w:eastAsia="仿宋_GB2312"/>
          <w:b/>
          <w:bCs/>
          <w:color w:val="FF0000"/>
          <w:sz w:val="32"/>
          <w:szCs w:val="32"/>
        </w:rPr>
      </w:pPr>
      <w:r>
        <w:rPr>
          <w:rFonts w:hint="eastAsia" w:ascii="Times New Roman" w:hAnsi="仿宋_GB2312" w:eastAsia="仿宋_GB2312"/>
          <w:sz w:val="32"/>
          <w:szCs w:val="32"/>
        </w:rPr>
        <w:t>单位现有公务用车</w:t>
      </w:r>
      <w:r>
        <w:rPr>
          <w:rFonts w:ascii="Times New Roman" w:hAnsi="Times New Roman" w:eastAsia="仿宋_GB2312"/>
          <w:sz w:val="32"/>
          <w:szCs w:val="32"/>
        </w:rPr>
        <w:t>14</w:t>
      </w:r>
      <w:r>
        <w:rPr>
          <w:rFonts w:hint="eastAsia" w:ascii="Times New Roman" w:hAnsi="仿宋_GB2312" w:eastAsia="仿宋_GB2312"/>
          <w:sz w:val="32"/>
          <w:szCs w:val="32"/>
        </w:rPr>
        <w:t>辆，其中：轿车</w:t>
      </w:r>
      <w:r>
        <w:rPr>
          <w:rFonts w:ascii="Times New Roman" w:hAnsi="Times New Roman" w:eastAsia="仿宋_GB2312"/>
          <w:sz w:val="32"/>
          <w:szCs w:val="32"/>
        </w:rPr>
        <w:t>4</w:t>
      </w:r>
      <w:r>
        <w:rPr>
          <w:rFonts w:hint="eastAsia" w:ascii="Times New Roman" w:hAnsi="仿宋_GB2312" w:eastAsia="仿宋_GB2312"/>
          <w:sz w:val="32"/>
          <w:szCs w:val="32"/>
        </w:rPr>
        <w:t>辆，旅行车（含商务车）</w:t>
      </w:r>
      <w:r>
        <w:rPr>
          <w:rFonts w:ascii="Times New Roman" w:hAnsi="Times New Roman" w:eastAsia="仿宋_GB2312"/>
          <w:sz w:val="32"/>
          <w:szCs w:val="32"/>
        </w:rPr>
        <w:t>3</w:t>
      </w:r>
      <w:r>
        <w:rPr>
          <w:rFonts w:hint="eastAsia" w:ascii="Times New Roman" w:hAnsi="仿宋_GB2312" w:eastAsia="仿宋_GB2312"/>
          <w:sz w:val="32"/>
          <w:szCs w:val="32"/>
        </w:rPr>
        <w:t>辆，越野车</w:t>
      </w:r>
      <w:r>
        <w:rPr>
          <w:rFonts w:ascii="Times New Roman" w:hAnsi="Times New Roman" w:eastAsia="仿宋_GB2312"/>
          <w:sz w:val="32"/>
          <w:szCs w:val="32"/>
        </w:rPr>
        <w:t>7</w:t>
      </w:r>
      <w:r>
        <w:rPr>
          <w:rFonts w:hint="eastAsia" w:ascii="Times New Roman" w:hAnsi="仿宋_GB2312" w:eastAsia="仿宋_GB2312"/>
          <w:sz w:val="32"/>
          <w:szCs w:val="32"/>
        </w:rPr>
        <w:t>辆。</w:t>
      </w:r>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2024</w:t>
      </w:r>
      <w:r>
        <w:rPr>
          <w:rFonts w:hint="eastAsia" w:ascii="Times New Roman" w:hAnsi="仿宋_GB2312" w:eastAsia="仿宋_GB2312"/>
          <w:sz w:val="32"/>
          <w:szCs w:val="32"/>
        </w:rPr>
        <w:t>年未安排公务用车购置费。</w:t>
      </w:r>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2024</w:t>
      </w:r>
      <w:r>
        <w:rPr>
          <w:rFonts w:hint="eastAsia" w:ascii="Times New Roman" w:hAnsi="仿宋_GB2312" w:eastAsia="仿宋_GB2312"/>
          <w:sz w:val="32"/>
          <w:szCs w:val="32"/>
        </w:rPr>
        <w:t>年安排公务用车运行维护费</w:t>
      </w:r>
      <w:r>
        <w:rPr>
          <w:rFonts w:ascii="Times New Roman" w:hAnsi="Times New Roman" w:eastAsia="仿宋_GB2312"/>
          <w:sz w:val="32"/>
          <w:szCs w:val="32"/>
        </w:rPr>
        <w:t>26</w:t>
      </w:r>
      <w:r>
        <w:rPr>
          <w:rFonts w:hint="eastAsia" w:ascii="Times New Roman" w:hAnsi="仿宋_GB2312" w:eastAsia="仿宋_GB2312"/>
          <w:sz w:val="32"/>
          <w:szCs w:val="32"/>
        </w:rPr>
        <w:t>万元，用于</w:t>
      </w:r>
      <w:r>
        <w:rPr>
          <w:rFonts w:ascii="Times New Roman" w:hAnsi="Times New Roman" w:eastAsia="仿宋_GB2312"/>
          <w:sz w:val="32"/>
          <w:szCs w:val="32"/>
        </w:rPr>
        <w:t>14</w:t>
      </w:r>
      <w:r>
        <w:rPr>
          <w:rFonts w:hint="eastAsia" w:ascii="Times New Roman" w:hAnsi="仿宋_GB2312" w:eastAsia="仿宋_GB2312"/>
          <w:sz w:val="32"/>
          <w:szCs w:val="32"/>
        </w:rPr>
        <w:t>辆公务用车燃油、过路（桥）、维修、保险等方面支出，主要保障</w:t>
      </w:r>
      <w:r>
        <w:rPr>
          <w:rFonts w:hint="eastAsia" w:ascii="仿宋_GB2312" w:hAnsi="Times New Roman" w:eastAsia="仿宋_GB2312"/>
          <w:color w:val="333333"/>
          <w:kern w:val="0"/>
          <w:sz w:val="32"/>
          <w:szCs w:val="32"/>
          <w:shd w:val="clear" w:color="auto" w:fill="FFFFFF"/>
        </w:rPr>
        <w:t>全院立案、审判、执行等工作需要安排用车</w:t>
      </w:r>
      <w:r>
        <w:rPr>
          <w:rFonts w:hint="eastAsia" w:ascii="Times New Roman" w:hAnsi="仿宋_GB2312" w:eastAsia="仿宋_GB2312"/>
          <w:sz w:val="32"/>
          <w:szCs w:val="32"/>
        </w:rPr>
        <w:t>。</w:t>
      </w:r>
    </w:p>
    <w:p>
      <w:pPr>
        <w:shd w:val="clear"/>
        <w:spacing w:line="576" w:lineRule="exact"/>
        <w:outlineLvl w:val="1"/>
        <w:rPr>
          <w:rFonts w:ascii="Times New Roman" w:hAnsi="Times New Roman" w:eastAsia="仿宋_GB2312"/>
          <w:sz w:val="32"/>
          <w:szCs w:val="32"/>
        </w:rPr>
      </w:pPr>
      <w:r>
        <w:rPr>
          <w:rFonts w:ascii="Times New Roman" w:hAnsi="Times New Roman" w:eastAsia="仿宋_GB2312"/>
          <w:sz w:val="32"/>
          <w:szCs w:val="32"/>
        </w:rPr>
        <w:t xml:space="preserve">    </w:t>
      </w:r>
      <w:bookmarkStart w:id="16" w:name="_Toc30689"/>
      <w:r>
        <w:rPr>
          <w:rFonts w:hint="eastAsia" w:ascii="Times New Roman" w:hAnsi="仿宋_GB2312" w:eastAsia="仿宋_GB2312"/>
          <w:sz w:val="32"/>
          <w:szCs w:val="32"/>
        </w:rPr>
        <w:t>（</w:t>
      </w:r>
      <w:r>
        <w:rPr>
          <w:rFonts w:hint="eastAsia" w:ascii="Times New Roman" w:hAnsi="楷体_GB2312" w:eastAsia="楷体_GB2312"/>
          <w:sz w:val="32"/>
          <w:szCs w:val="32"/>
        </w:rPr>
        <w:t>三）因公出国（境）经费</w:t>
      </w:r>
      <w:bookmarkEnd w:id="16"/>
    </w:p>
    <w:p>
      <w:pPr>
        <w:shd w:val="clear"/>
        <w:spacing w:line="576" w:lineRule="exact"/>
        <w:ind w:firstLine="640" w:firstLineChars="200"/>
        <w:rPr>
          <w:rFonts w:ascii="Times New Roman" w:hAnsi="Times New Roman" w:eastAsia="仿宋_GB2312"/>
          <w:b/>
          <w:bCs/>
          <w:sz w:val="32"/>
          <w:szCs w:val="32"/>
        </w:rPr>
      </w:pPr>
      <w:r>
        <w:rPr>
          <w:rFonts w:hint="eastAsia" w:ascii="Times New Roman" w:hAnsi="仿宋_GB2312" w:eastAsia="仿宋_GB2312"/>
          <w:sz w:val="32"/>
          <w:szCs w:val="32"/>
        </w:rPr>
        <w:t>因公出国（境）经费与</w:t>
      </w:r>
      <w:r>
        <w:rPr>
          <w:rFonts w:ascii="Times New Roman" w:hAnsi="Times New Roman" w:eastAsia="仿宋_GB2312"/>
          <w:sz w:val="32"/>
          <w:szCs w:val="32"/>
        </w:rPr>
        <w:t>2023</w:t>
      </w:r>
      <w:r>
        <w:rPr>
          <w:rFonts w:hint="eastAsia" w:ascii="Times New Roman" w:hAnsi="仿宋_GB2312" w:eastAsia="仿宋_GB2312"/>
          <w:sz w:val="32"/>
          <w:szCs w:val="32"/>
        </w:rPr>
        <w:t>年预算相比持平，</w:t>
      </w:r>
      <w:r>
        <w:rPr>
          <w:rFonts w:ascii="仿宋_GB2312" w:hAnsi="宋体" w:eastAsia="仿宋_GB2312"/>
          <w:kern w:val="0"/>
          <w:sz w:val="32"/>
          <w:szCs w:val="32"/>
          <w:shd w:val="clear" w:color="auto" w:fill="FFFFFF"/>
        </w:rPr>
        <w:t>2024</w:t>
      </w:r>
      <w:r>
        <w:rPr>
          <w:rFonts w:hint="eastAsia" w:ascii="仿宋_GB2312" w:hAnsi="宋体" w:eastAsia="仿宋_GB2312"/>
          <w:kern w:val="0"/>
          <w:sz w:val="32"/>
          <w:szCs w:val="32"/>
          <w:shd w:val="clear" w:color="auto" w:fill="FFFFFF"/>
        </w:rPr>
        <w:t>年部门预算未编列因公出国（境）经费，未安排出国（境）任务和计划</w:t>
      </w:r>
      <w:r>
        <w:rPr>
          <w:rFonts w:hint="eastAsia" w:ascii="Times New Roman" w:hAnsi="仿宋_GB2312" w:eastAsia="仿宋_GB2312"/>
          <w:sz w:val="32"/>
          <w:szCs w:val="32"/>
        </w:rPr>
        <w:t>。</w:t>
      </w:r>
    </w:p>
    <w:p>
      <w:pPr>
        <w:shd w:val="clear"/>
        <w:spacing w:line="576" w:lineRule="exact"/>
        <w:ind w:firstLine="640" w:firstLineChars="200"/>
        <w:outlineLvl w:val="0"/>
        <w:rPr>
          <w:rFonts w:ascii="Times New Roman" w:hAnsi="Times New Roman" w:eastAsia="黑体"/>
          <w:sz w:val="32"/>
          <w:szCs w:val="32"/>
        </w:rPr>
      </w:pPr>
      <w:bookmarkStart w:id="17" w:name="_Toc3568"/>
      <w:r>
        <w:rPr>
          <w:rFonts w:hint="eastAsia" w:ascii="Times New Roman" w:hAnsi="黑体" w:eastAsia="黑体"/>
          <w:sz w:val="32"/>
          <w:szCs w:val="32"/>
        </w:rPr>
        <w:t>八、政府性基金预算支出情况说明</w:t>
      </w:r>
      <w:bookmarkEnd w:id="17"/>
    </w:p>
    <w:p>
      <w:pPr>
        <w:shd w:val="clear"/>
        <w:spacing w:line="576" w:lineRule="exact"/>
        <w:ind w:firstLine="640" w:firstLineChars="200"/>
        <w:rPr>
          <w:rFonts w:ascii="Times New Roman" w:hAnsi="Times New Roman" w:eastAsia="仿宋_GB2312"/>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年无政府性基金预算拨款安排的支出。</w:t>
      </w:r>
    </w:p>
    <w:p>
      <w:pPr>
        <w:shd w:val="clear"/>
        <w:spacing w:line="576" w:lineRule="exact"/>
        <w:ind w:firstLine="640" w:firstLineChars="200"/>
        <w:outlineLvl w:val="0"/>
        <w:rPr>
          <w:rFonts w:ascii="Times New Roman" w:hAnsi="Times New Roman" w:eastAsia="黑体"/>
          <w:sz w:val="32"/>
          <w:szCs w:val="32"/>
        </w:rPr>
      </w:pPr>
      <w:bookmarkStart w:id="18" w:name="_Toc2878"/>
      <w:r>
        <w:rPr>
          <w:rFonts w:hint="eastAsia" w:ascii="Times New Roman" w:hAnsi="黑体" w:eastAsia="黑体"/>
          <w:sz w:val="32"/>
          <w:szCs w:val="32"/>
        </w:rPr>
        <w:t>九、国有资本经营预算支出情况说明</w:t>
      </w:r>
      <w:bookmarkEnd w:id="18"/>
    </w:p>
    <w:p>
      <w:pPr>
        <w:shd w:val="clear"/>
        <w:spacing w:line="576" w:lineRule="exact"/>
        <w:ind w:firstLine="640" w:firstLineChars="200"/>
        <w:rPr>
          <w:rFonts w:ascii="Times New Roman" w:hAnsi="Times New Roman" w:eastAsia="仿宋_GB2312"/>
          <w:sz w:val="32"/>
          <w:szCs w:val="32"/>
        </w:rPr>
      </w:pPr>
      <w:r>
        <w:rPr>
          <w:rFonts w:hint="eastAsia" w:ascii="仿宋_GB2312" w:hAnsi="Times New Roman" w:eastAsia="仿宋_GB2312"/>
          <w:color w:val="333333"/>
          <w:kern w:val="0"/>
          <w:sz w:val="32"/>
          <w:szCs w:val="32"/>
          <w:shd w:val="clear" w:color="auto" w:fill="FFFFFF"/>
        </w:rPr>
        <w:t>旺苍县人民法院</w:t>
      </w:r>
      <w:r>
        <w:rPr>
          <w:rFonts w:ascii="Times New Roman" w:hAnsi="Times New Roman" w:eastAsia="仿宋_GB2312"/>
          <w:sz w:val="32"/>
          <w:szCs w:val="32"/>
        </w:rPr>
        <w:t>2024</w:t>
      </w:r>
      <w:r>
        <w:rPr>
          <w:rFonts w:hint="eastAsia" w:ascii="Times New Roman" w:hAnsi="仿宋_GB2312" w:eastAsia="仿宋_GB2312"/>
          <w:sz w:val="32"/>
          <w:szCs w:val="32"/>
        </w:rPr>
        <w:t>年无国有资本经营预算拨款安排的支出。</w:t>
      </w:r>
    </w:p>
    <w:p>
      <w:pPr>
        <w:shd w:val="clear"/>
        <w:spacing w:line="576" w:lineRule="exact"/>
        <w:ind w:firstLine="640" w:firstLineChars="200"/>
        <w:outlineLvl w:val="0"/>
        <w:rPr>
          <w:rFonts w:ascii="Times New Roman" w:hAnsi="Times New Roman" w:eastAsia="黑体"/>
          <w:sz w:val="32"/>
          <w:szCs w:val="32"/>
        </w:rPr>
      </w:pPr>
      <w:bookmarkStart w:id="19" w:name="_Toc25621"/>
      <w:r>
        <w:rPr>
          <w:rFonts w:hint="eastAsia" w:ascii="Times New Roman" w:hAnsi="黑体" w:eastAsia="黑体"/>
          <w:sz w:val="32"/>
          <w:szCs w:val="32"/>
        </w:rPr>
        <w:t>十、其他重要事项的情况说明</w:t>
      </w:r>
      <w:bookmarkEnd w:id="19"/>
    </w:p>
    <w:p>
      <w:pPr>
        <w:shd w:val="clear"/>
        <w:spacing w:line="576" w:lineRule="exact"/>
        <w:ind w:firstLine="640" w:firstLineChars="200"/>
        <w:outlineLvl w:val="1"/>
        <w:rPr>
          <w:rFonts w:ascii="Times New Roman" w:hAnsi="Times New Roman" w:eastAsia="楷体_GB2312"/>
          <w:sz w:val="32"/>
          <w:szCs w:val="32"/>
        </w:rPr>
      </w:pPr>
      <w:bookmarkStart w:id="20" w:name="_Toc31162"/>
      <w:r>
        <w:rPr>
          <w:rFonts w:hint="eastAsia" w:ascii="Times New Roman" w:hAnsi="楷体_GB2312" w:eastAsia="楷体_GB2312"/>
          <w:sz w:val="32"/>
          <w:szCs w:val="32"/>
        </w:rPr>
        <w:t>（一）机关运行经费</w:t>
      </w:r>
      <w:bookmarkEnd w:id="20"/>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2024</w:t>
      </w:r>
      <w:r>
        <w:rPr>
          <w:rFonts w:hint="eastAsia" w:ascii="Times New Roman" w:hAnsi="仿宋_GB2312" w:eastAsia="仿宋_GB2312"/>
          <w:sz w:val="32"/>
          <w:szCs w:val="32"/>
        </w:rPr>
        <w:t>年，</w:t>
      </w:r>
      <w:r>
        <w:rPr>
          <w:rFonts w:hint="eastAsia" w:ascii="仿宋_GB2312" w:hAnsi="Times New Roman" w:eastAsia="仿宋_GB2312"/>
          <w:color w:val="333333"/>
          <w:kern w:val="0"/>
          <w:sz w:val="32"/>
          <w:szCs w:val="32"/>
          <w:shd w:val="clear" w:color="auto" w:fill="FFFFFF"/>
        </w:rPr>
        <w:t>旺苍县人民法院</w:t>
      </w:r>
      <w:r>
        <w:rPr>
          <w:rFonts w:hint="eastAsia" w:ascii="Times New Roman" w:hAnsi="仿宋_GB2312" w:eastAsia="仿宋_GB2312"/>
          <w:sz w:val="32"/>
          <w:szCs w:val="32"/>
        </w:rPr>
        <w:t>的机关运行经费财政拨款预算为</w:t>
      </w:r>
      <w:r>
        <w:rPr>
          <w:rFonts w:ascii="Times New Roman" w:hAnsi="Times New Roman" w:eastAsia="仿宋_GB2312"/>
          <w:sz w:val="32"/>
          <w:szCs w:val="32"/>
        </w:rPr>
        <w:t>207.78</w:t>
      </w:r>
      <w:r>
        <w:rPr>
          <w:rFonts w:hint="eastAsia" w:ascii="Times New Roman" w:hAnsi="仿宋_GB2312" w:eastAsia="仿宋_GB2312"/>
          <w:sz w:val="32"/>
          <w:szCs w:val="32"/>
        </w:rPr>
        <w:t>万元，比</w:t>
      </w:r>
      <w:r>
        <w:rPr>
          <w:rFonts w:ascii="Times New Roman" w:hAnsi="Times New Roman" w:eastAsia="仿宋_GB2312"/>
          <w:sz w:val="32"/>
          <w:szCs w:val="32"/>
        </w:rPr>
        <w:t>2023</w:t>
      </w:r>
      <w:r>
        <w:rPr>
          <w:rFonts w:hint="eastAsia" w:ascii="Times New Roman" w:hAnsi="仿宋_GB2312" w:eastAsia="仿宋_GB2312"/>
          <w:sz w:val="32"/>
          <w:szCs w:val="32"/>
        </w:rPr>
        <w:t>年预算减少</w:t>
      </w:r>
      <w:r>
        <w:rPr>
          <w:rFonts w:ascii="Times New Roman" w:hAnsi="仿宋_GB2312" w:eastAsia="仿宋_GB2312"/>
          <w:sz w:val="32"/>
          <w:szCs w:val="32"/>
        </w:rPr>
        <w:t>0.22</w:t>
      </w:r>
      <w:r>
        <w:rPr>
          <w:rFonts w:hint="eastAsia" w:ascii="Times New Roman" w:hAnsi="仿宋_GB2312" w:eastAsia="仿宋_GB2312"/>
          <w:sz w:val="32"/>
          <w:szCs w:val="32"/>
        </w:rPr>
        <w:t>万元，下降</w:t>
      </w:r>
      <w:r>
        <w:rPr>
          <w:rFonts w:ascii="Times New Roman" w:hAnsi="Times New Roman" w:eastAsia="仿宋_GB2312"/>
          <w:sz w:val="32"/>
          <w:szCs w:val="32"/>
        </w:rPr>
        <w:t>0.11%</w:t>
      </w:r>
      <w:r>
        <w:rPr>
          <w:rFonts w:hint="eastAsia" w:ascii="Times New Roman" w:hAnsi="仿宋_GB2312" w:eastAsia="仿宋_GB2312"/>
          <w:sz w:val="32"/>
          <w:szCs w:val="32"/>
        </w:rPr>
        <w:t>。主要原因</w:t>
      </w:r>
      <w:r>
        <w:rPr>
          <w:rFonts w:ascii="Times New Roman" w:hAnsi="仿宋_GB2312" w:eastAsia="仿宋_GB2312"/>
          <w:sz w:val="32"/>
          <w:szCs w:val="32"/>
        </w:rPr>
        <w:t>2024</w:t>
      </w:r>
      <w:r>
        <w:rPr>
          <w:rFonts w:hint="eastAsia" w:ascii="Times New Roman" w:hAnsi="仿宋_GB2312" w:eastAsia="仿宋_GB2312"/>
          <w:sz w:val="32"/>
          <w:szCs w:val="32"/>
        </w:rPr>
        <w:t>年人员较上年减少</w:t>
      </w:r>
      <w:r>
        <w:rPr>
          <w:rFonts w:ascii="Times New Roman" w:hAnsi="仿宋_GB2312" w:eastAsia="仿宋_GB2312"/>
          <w:sz w:val="32"/>
          <w:szCs w:val="32"/>
        </w:rPr>
        <w:t>3</w:t>
      </w:r>
      <w:r>
        <w:rPr>
          <w:rFonts w:hint="eastAsia" w:ascii="Times New Roman" w:hAnsi="仿宋_GB2312" w:eastAsia="仿宋_GB2312"/>
          <w:sz w:val="32"/>
          <w:szCs w:val="32"/>
        </w:rPr>
        <w:t>人，机关运行经费相应减少。</w:t>
      </w:r>
    </w:p>
    <w:p>
      <w:pPr>
        <w:shd w:val="clear"/>
        <w:spacing w:line="576" w:lineRule="exact"/>
        <w:ind w:firstLine="640" w:firstLineChars="200"/>
        <w:outlineLvl w:val="1"/>
        <w:rPr>
          <w:rFonts w:ascii="Times New Roman" w:hAnsi="Times New Roman" w:eastAsia="楷体_GB2312"/>
          <w:sz w:val="32"/>
          <w:szCs w:val="32"/>
        </w:rPr>
      </w:pPr>
      <w:bookmarkStart w:id="21" w:name="_Toc24829"/>
      <w:r>
        <w:rPr>
          <w:rFonts w:hint="eastAsia" w:ascii="Times New Roman" w:hAnsi="楷体_GB2312" w:eastAsia="楷体_GB2312"/>
          <w:sz w:val="32"/>
          <w:szCs w:val="32"/>
        </w:rPr>
        <w:t>（二）政府采购情况</w:t>
      </w:r>
      <w:bookmarkEnd w:id="21"/>
    </w:p>
    <w:p>
      <w:pPr>
        <w:shd w:val="clear"/>
        <w:spacing w:line="576" w:lineRule="exact"/>
        <w:ind w:firstLine="640" w:firstLineChars="200"/>
        <w:rPr>
          <w:rFonts w:ascii="Times New Roman" w:hAnsi="Times New Roman" w:eastAsia="仿宋_GB2312"/>
          <w:color w:val="FF0000"/>
          <w:sz w:val="32"/>
          <w:szCs w:val="32"/>
        </w:rPr>
      </w:pPr>
      <w:r>
        <w:rPr>
          <w:rFonts w:ascii="Times New Roman" w:hAnsi="Times New Roman" w:eastAsia="仿宋_GB2312"/>
          <w:sz w:val="32"/>
          <w:szCs w:val="32"/>
        </w:rPr>
        <w:t>2024</w:t>
      </w:r>
      <w:r>
        <w:rPr>
          <w:rFonts w:hint="eastAsia" w:ascii="Times New Roman" w:hAnsi="仿宋_GB2312" w:eastAsia="仿宋_GB2312"/>
          <w:sz w:val="32"/>
          <w:szCs w:val="32"/>
        </w:rPr>
        <w:t>年，</w:t>
      </w:r>
      <w:r>
        <w:rPr>
          <w:rFonts w:hint="eastAsia" w:ascii="仿宋_GB2312" w:hAnsi="Times New Roman" w:eastAsia="仿宋_GB2312"/>
          <w:color w:val="333333"/>
          <w:kern w:val="0"/>
          <w:sz w:val="32"/>
          <w:szCs w:val="32"/>
          <w:shd w:val="clear" w:color="auto" w:fill="FFFFFF"/>
        </w:rPr>
        <w:t>旺苍县人民法院</w:t>
      </w:r>
      <w:r>
        <w:rPr>
          <w:rFonts w:hint="eastAsia" w:ascii="Times New Roman" w:hAnsi="仿宋_GB2312" w:eastAsia="仿宋_GB2312"/>
          <w:sz w:val="32"/>
          <w:szCs w:val="32"/>
        </w:rPr>
        <w:t>安排政府采购预算</w:t>
      </w:r>
      <w:r>
        <w:rPr>
          <w:rFonts w:ascii="Times New Roman" w:hAnsi="Times New Roman" w:eastAsia="仿宋_GB2312"/>
          <w:sz w:val="32"/>
          <w:szCs w:val="32"/>
        </w:rPr>
        <w:t>0</w:t>
      </w:r>
      <w:r>
        <w:rPr>
          <w:rFonts w:hint="eastAsia" w:ascii="Times New Roman" w:hAnsi="仿宋_GB2312" w:eastAsia="仿宋_GB2312"/>
          <w:sz w:val="32"/>
          <w:szCs w:val="32"/>
        </w:rPr>
        <w:t>万元。</w:t>
      </w:r>
    </w:p>
    <w:p>
      <w:pPr>
        <w:shd w:val="clear"/>
        <w:spacing w:line="576" w:lineRule="exact"/>
        <w:ind w:firstLine="640" w:firstLineChars="200"/>
        <w:outlineLvl w:val="1"/>
        <w:rPr>
          <w:rFonts w:ascii="Times New Roman" w:hAnsi="Times New Roman" w:eastAsia="楷体_GB2312"/>
          <w:sz w:val="32"/>
          <w:szCs w:val="32"/>
        </w:rPr>
      </w:pPr>
      <w:bookmarkStart w:id="22" w:name="_Toc22673"/>
      <w:r>
        <w:rPr>
          <w:rFonts w:hint="eastAsia" w:ascii="Times New Roman" w:hAnsi="楷体_GB2312" w:eastAsia="楷体_GB2312"/>
          <w:sz w:val="32"/>
          <w:szCs w:val="32"/>
        </w:rPr>
        <w:t>（三）国有资产占有使用情况</w:t>
      </w:r>
      <w:bookmarkEnd w:id="22"/>
    </w:p>
    <w:p>
      <w:pPr>
        <w:shd w:val="clear"/>
        <w:spacing w:line="576" w:lineRule="exact"/>
        <w:ind w:firstLine="640" w:firstLineChars="200"/>
        <w:rPr>
          <w:rFonts w:ascii="Times New Roman" w:hAnsi="Times New Roman" w:eastAsia="仿宋_GB2312"/>
          <w:sz w:val="32"/>
          <w:szCs w:val="32"/>
        </w:rPr>
      </w:pPr>
      <w:r>
        <w:rPr>
          <w:rFonts w:hint="eastAsia" w:ascii="Times New Roman" w:hAnsi="仿宋_GB2312" w:eastAsia="仿宋_GB2312"/>
          <w:sz w:val="32"/>
          <w:szCs w:val="32"/>
        </w:rPr>
        <w:t>截至</w:t>
      </w:r>
      <w:r>
        <w:rPr>
          <w:rFonts w:ascii="Times New Roman" w:hAnsi="Times New Roman" w:eastAsia="仿宋_GB2312"/>
          <w:sz w:val="32"/>
          <w:szCs w:val="32"/>
        </w:rPr>
        <w:t>2023</w:t>
      </w:r>
      <w:r>
        <w:rPr>
          <w:rFonts w:hint="eastAsia" w:ascii="Times New Roman" w:hAnsi="仿宋_GB2312" w:eastAsia="仿宋_GB2312"/>
          <w:sz w:val="32"/>
          <w:szCs w:val="32"/>
        </w:rPr>
        <w:t>年底，</w:t>
      </w:r>
      <w:r>
        <w:rPr>
          <w:rFonts w:hint="eastAsia" w:ascii="仿宋_GB2312" w:hAnsi="Times New Roman" w:eastAsia="仿宋_GB2312"/>
          <w:color w:val="333333"/>
          <w:kern w:val="0"/>
          <w:sz w:val="32"/>
          <w:szCs w:val="32"/>
          <w:shd w:val="clear" w:color="auto" w:fill="FFFFFF"/>
        </w:rPr>
        <w:t>旺苍县人民法院</w:t>
      </w:r>
      <w:r>
        <w:rPr>
          <w:rFonts w:hint="eastAsia" w:ascii="Times New Roman" w:hAnsi="仿宋_GB2312" w:eastAsia="仿宋_GB2312"/>
          <w:sz w:val="32"/>
          <w:szCs w:val="32"/>
        </w:rPr>
        <w:t>共有车辆</w:t>
      </w:r>
      <w:r>
        <w:rPr>
          <w:rFonts w:ascii="Times New Roman" w:hAnsi="Times New Roman" w:eastAsia="仿宋_GB2312"/>
          <w:sz w:val="32"/>
          <w:szCs w:val="32"/>
        </w:rPr>
        <w:t>14</w:t>
      </w:r>
      <w:r>
        <w:rPr>
          <w:rFonts w:hint="eastAsia" w:ascii="Times New Roman" w:hAnsi="仿宋_GB2312" w:eastAsia="仿宋_GB2312"/>
          <w:sz w:val="32"/>
          <w:szCs w:val="32"/>
        </w:rPr>
        <w:t>辆，其中，执法执勤用车</w:t>
      </w:r>
      <w:r>
        <w:rPr>
          <w:rFonts w:ascii="Times New Roman" w:hAnsi="Times New Roman" w:eastAsia="仿宋_GB2312"/>
          <w:sz w:val="32"/>
          <w:szCs w:val="32"/>
        </w:rPr>
        <w:t>14</w:t>
      </w:r>
      <w:r>
        <w:rPr>
          <w:rFonts w:hint="eastAsia" w:ascii="Times New Roman" w:hAnsi="仿宋_GB2312" w:eastAsia="仿宋_GB2312"/>
          <w:sz w:val="32"/>
          <w:szCs w:val="32"/>
        </w:rPr>
        <w:t>辆。单位无价值</w:t>
      </w:r>
      <w:r>
        <w:rPr>
          <w:rFonts w:ascii="Times New Roman" w:hAnsi="Times New Roman" w:eastAsia="仿宋_GB2312"/>
          <w:sz w:val="32"/>
          <w:szCs w:val="32"/>
        </w:rPr>
        <w:t>200</w:t>
      </w:r>
      <w:r>
        <w:rPr>
          <w:rFonts w:hint="eastAsia" w:ascii="Times New Roman" w:hAnsi="仿宋_GB2312" w:eastAsia="仿宋_GB2312"/>
          <w:sz w:val="32"/>
          <w:szCs w:val="32"/>
        </w:rPr>
        <w:t>万元以上的大型设备。</w:t>
      </w:r>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2024</w:t>
      </w:r>
      <w:r>
        <w:rPr>
          <w:rFonts w:hint="eastAsia" w:ascii="Times New Roman" w:hAnsi="仿宋_GB2312" w:eastAsia="仿宋_GB2312"/>
          <w:sz w:val="32"/>
          <w:szCs w:val="32"/>
        </w:rPr>
        <w:t>年部门预算未安排购置车辆及单位价值</w:t>
      </w:r>
      <w:r>
        <w:rPr>
          <w:rFonts w:ascii="Times New Roman" w:hAnsi="Times New Roman" w:eastAsia="仿宋_GB2312"/>
          <w:sz w:val="32"/>
          <w:szCs w:val="32"/>
        </w:rPr>
        <w:t>200</w:t>
      </w:r>
      <w:r>
        <w:rPr>
          <w:rFonts w:hint="eastAsia" w:ascii="Times New Roman" w:hAnsi="仿宋_GB2312" w:eastAsia="仿宋_GB2312"/>
          <w:sz w:val="32"/>
          <w:szCs w:val="32"/>
        </w:rPr>
        <w:t>万元以上大型设备。</w:t>
      </w:r>
    </w:p>
    <w:p>
      <w:pPr>
        <w:shd w:val="clear"/>
        <w:spacing w:line="576" w:lineRule="exact"/>
        <w:ind w:firstLine="640" w:firstLineChars="200"/>
        <w:outlineLvl w:val="1"/>
        <w:rPr>
          <w:rFonts w:ascii="Times New Roman" w:hAnsi="Times New Roman" w:eastAsia="楷体_GB2312"/>
          <w:sz w:val="32"/>
          <w:szCs w:val="32"/>
        </w:rPr>
      </w:pPr>
      <w:bookmarkStart w:id="23" w:name="_Toc14316"/>
      <w:r>
        <w:rPr>
          <w:rFonts w:hint="eastAsia" w:ascii="Times New Roman" w:hAnsi="楷体_GB2312" w:eastAsia="楷体_GB2312"/>
          <w:sz w:val="32"/>
          <w:szCs w:val="32"/>
        </w:rPr>
        <w:t>（四）绩效目标设置情况</w:t>
      </w:r>
      <w:bookmarkEnd w:id="23"/>
    </w:p>
    <w:p>
      <w:pPr>
        <w:shd w:val="clear"/>
        <w:spacing w:line="576"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2024</w:t>
      </w:r>
      <w:r>
        <w:rPr>
          <w:rFonts w:hint="eastAsia" w:ascii="Times New Roman" w:hAnsi="仿宋_GB2312" w:eastAsia="仿宋_GB2312"/>
          <w:sz w:val="32"/>
          <w:szCs w:val="32"/>
        </w:rPr>
        <w:t>年</w:t>
      </w:r>
      <w:r>
        <w:rPr>
          <w:rFonts w:hint="eastAsia" w:ascii="仿宋_GB2312" w:hAnsi="Times New Roman" w:eastAsia="仿宋_GB2312"/>
          <w:color w:val="333333"/>
          <w:kern w:val="0"/>
          <w:sz w:val="32"/>
          <w:szCs w:val="32"/>
          <w:shd w:val="clear" w:color="auto" w:fill="FFFFFF"/>
        </w:rPr>
        <w:t>旺苍县人民法院</w:t>
      </w:r>
      <w:r>
        <w:rPr>
          <w:rFonts w:hint="eastAsia" w:ascii="Times New Roman" w:hAnsi="仿宋_GB2312" w:eastAsia="仿宋_GB2312"/>
          <w:sz w:val="32"/>
          <w:szCs w:val="32"/>
        </w:rPr>
        <w:t>开展绩效目标管理的项目</w:t>
      </w:r>
      <w:r>
        <w:rPr>
          <w:rFonts w:ascii="Times New Roman" w:hAnsi="Times New Roman" w:eastAsia="仿宋_GB2312"/>
          <w:sz w:val="32"/>
          <w:szCs w:val="32"/>
        </w:rPr>
        <w:t>10</w:t>
      </w:r>
      <w:r>
        <w:rPr>
          <w:rFonts w:hint="eastAsia" w:ascii="Times New Roman" w:hAnsi="仿宋_GB2312" w:eastAsia="仿宋_GB2312"/>
          <w:sz w:val="32"/>
          <w:szCs w:val="32"/>
        </w:rPr>
        <w:t>个，涉及预算</w:t>
      </w:r>
      <w:r>
        <w:rPr>
          <w:rFonts w:ascii="Times New Roman" w:hAnsi="Times New Roman" w:eastAsia="仿宋_GB2312"/>
          <w:sz w:val="32"/>
          <w:szCs w:val="32"/>
        </w:rPr>
        <w:t>1683.01</w:t>
      </w:r>
      <w:r>
        <w:rPr>
          <w:rFonts w:hint="eastAsia" w:ascii="Times New Roman" w:hAnsi="仿宋_GB2312" w:eastAsia="仿宋_GB2312"/>
          <w:sz w:val="32"/>
          <w:szCs w:val="32"/>
        </w:rPr>
        <w:t>万元。其中：人员类项目</w:t>
      </w:r>
      <w:r>
        <w:rPr>
          <w:rFonts w:ascii="Times New Roman" w:hAnsi="Times New Roman" w:eastAsia="仿宋_GB2312"/>
          <w:sz w:val="32"/>
          <w:szCs w:val="32"/>
        </w:rPr>
        <w:t>4</w:t>
      </w:r>
      <w:r>
        <w:rPr>
          <w:rFonts w:hint="eastAsia" w:ascii="Times New Roman" w:hAnsi="仿宋_GB2312" w:eastAsia="仿宋_GB2312"/>
          <w:sz w:val="32"/>
          <w:szCs w:val="32"/>
        </w:rPr>
        <w:t>个，涉及预算</w:t>
      </w:r>
      <w:r>
        <w:rPr>
          <w:rFonts w:ascii="Times New Roman" w:hAnsi="Times New Roman" w:eastAsia="仿宋_GB2312"/>
          <w:sz w:val="32"/>
          <w:szCs w:val="32"/>
        </w:rPr>
        <w:t xml:space="preserve"> 1152.75</w:t>
      </w:r>
      <w:r>
        <w:rPr>
          <w:rFonts w:hint="eastAsia" w:ascii="Times New Roman" w:hAnsi="仿宋_GB2312" w:eastAsia="仿宋_GB2312"/>
          <w:sz w:val="32"/>
          <w:szCs w:val="32"/>
        </w:rPr>
        <w:t>万元；运转类项目</w:t>
      </w:r>
      <w:r>
        <w:rPr>
          <w:rFonts w:ascii="Times New Roman" w:hAnsi="Times New Roman" w:eastAsia="仿宋_GB2312"/>
          <w:sz w:val="32"/>
          <w:szCs w:val="32"/>
        </w:rPr>
        <w:t>3</w:t>
      </w:r>
      <w:r>
        <w:rPr>
          <w:rFonts w:hint="eastAsia" w:ascii="Times New Roman" w:hAnsi="仿宋_GB2312" w:eastAsia="仿宋_GB2312"/>
          <w:sz w:val="32"/>
          <w:szCs w:val="32"/>
        </w:rPr>
        <w:t>个，涉及预算</w:t>
      </w:r>
      <w:r>
        <w:rPr>
          <w:rFonts w:ascii="Times New Roman" w:hAnsi="Times New Roman" w:eastAsia="仿宋_GB2312"/>
          <w:sz w:val="32"/>
          <w:szCs w:val="32"/>
        </w:rPr>
        <w:t>207.78</w:t>
      </w:r>
      <w:r>
        <w:rPr>
          <w:rFonts w:hint="eastAsia" w:ascii="Times New Roman" w:hAnsi="仿宋_GB2312" w:eastAsia="仿宋_GB2312"/>
          <w:sz w:val="32"/>
          <w:szCs w:val="32"/>
        </w:rPr>
        <w:t>万元；特定目标类项目</w:t>
      </w:r>
      <w:r>
        <w:rPr>
          <w:rFonts w:ascii="Times New Roman" w:hAnsi="Times New Roman" w:eastAsia="仿宋_GB2312"/>
          <w:sz w:val="32"/>
          <w:szCs w:val="32"/>
        </w:rPr>
        <w:t>3</w:t>
      </w:r>
      <w:r>
        <w:rPr>
          <w:rFonts w:hint="eastAsia" w:ascii="Times New Roman" w:hAnsi="仿宋_GB2312" w:eastAsia="仿宋_GB2312"/>
          <w:sz w:val="32"/>
          <w:szCs w:val="32"/>
        </w:rPr>
        <w:t>个，涉及预算</w:t>
      </w:r>
      <w:r>
        <w:rPr>
          <w:rFonts w:ascii="Times New Roman" w:hAnsi="Times New Roman" w:eastAsia="仿宋_GB2312"/>
          <w:sz w:val="32"/>
          <w:szCs w:val="32"/>
        </w:rPr>
        <w:t>322.48</w:t>
      </w:r>
      <w:r>
        <w:rPr>
          <w:rFonts w:hint="eastAsia" w:ascii="Times New Roman" w:hAnsi="仿宋_GB2312" w:eastAsia="仿宋_GB2312"/>
          <w:sz w:val="32"/>
          <w:szCs w:val="32"/>
        </w:rPr>
        <w:t>万元。</w:t>
      </w:r>
    </w:p>
    <w:p>
      <w:pPr>
        <w:shd w:val="clear"/>
        <w:spacing w:line="576" w:lineRule="exact"/>
        <w:ind w:firstLine="640" w:firstLineChars="200"/>
        <w:outlineLvl w:val="0"/>
        <w:rPr>
          <w:rFonts w:ascii="Times New Roman" w:hAnsi="Times New Roman" w:eastAsia="黑体"/>
          <w:sz w:val="32"/>
          <w:szCs w:val="32"/>
        </w:rPr>
      </w:pPr>
      <w:bookmarkStart w:id="24" w:name="_Toc7432"/>
      <w:r>
        <w:rPr>
          <w:rFonts w:hint="eastAsia" w:ascii="Times New Roman" w:hAnsi="黑体" w:eastAsia="黑体"/>
          <w:sz w:val="32"/>
          <w:szCs w:val="32"/>
        </w:rPr>
        <w:t>十一、名词解释</w:t>
      </w:r>
      <w:bookmarkEnd w:id="24"/>
    </w:p>
    <w:p>
      <w:pPr>
        <w:widowControl/>
        <w:pBdr>
          <w:bottom w:val="single" w:color="FFFFFF" w:sz="8" w:space="31"/>
        </w:pBdr>
        <w:shd w:val="clear" w:color="auto"/>
        <w:adjustRightInd w:val="0"/>
        <w:snapToGrid w:val="0"/>
        <w:spacing w:beforeLines="50" w:line="360" w:lineRule="auto"/>
        <w:ind w:firstLine="640" w:firstLineChars="200"/>
        <w:rPr>
          <w:rFonts w:ascii="仿宋_GB2312" w:hAnsi="Times New Roman" w:eastAsia="仿宋_GB2312"/>
          <w:color w:val="333333"/>
          <w:kern w:val="0"/>
          <w:sz w:val="32"/>
          <w:szCs w:val="32"/>
          <w:shd w:val="clear" w:color="auto" w:fill="FFFFFF"/>
        </w:rPr>
      </w:pPr>
      <w:r>
        <w:rPr>
          <w:rFonts w:hint="eastAsia" w:ascii="仿宋_GB2312" w:hAnsi="宋体" w:eastAsia="仿宋_GB2312"/>
          <w:kern w:val="0"/>
          <w:sz w:val="32"/>
          <w:szCs w:val="32"/>
          <w:shd w:val="clear" w:color="auto" w:fill="FFFFFF"/>
        </w:rPr>
        <w:t>（一）</w:t>
      </w:r>
      <w:r>
        <w:rPr>
          <w:rFonts w:hint="eastAsia" w:ascii="楷体_GB2312" w:hAnsi="楷体_GB2312" w:eastAsia="楷体_GB2312" w:cs="楷体_GB2312"/>
          <w:sz w:val="32"/>
          <w:szCs w:val="32"/>
        </w:rPr>
        <w:t>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r>
        <w:rPr>
          <w:rFonts w:hint="eastAsia" w:ascii="仿宋_GB2312" w:hAnsi="宋体" w:eastAsia="仿宋_GB2312"/>
          <w:kern w:val="0"/>
          <w:sz w:val="32"/>
          <w:szCs w:val="32"/>
          <w:shd w:val="clear" w:color="auto" w:fill="FFFFFF"/>
        </w:rPr>
        <w:t>。</w:t>
      </w:r>
      <w:r>
        <w:rPr>
          <w:rFonts w:ascii="仿宋_GB2312" w:hAnsi="Times New Roman" w:eastAsia="仿宋_GB2312"/>
          <w:color w:val="FF0000"/>
          <w:kern w:val="0"/>
          <w:sz w:val="32"/>
          <w:szCs w:val="32"/>
          <w:shd w:val="clear" w:color="auto" w:fill="FFFFFF"/>
        </w:rPr>
        <w:br w:type="textWrapping"/>
      </w:r>
      <w:r>
        <w:rPr>
          <w:rFonts w:hint="eastAsia" w:ascii="仿宋_GB2312" w:hAnsi="宋体" w:eastAsia="仿宋_GB2312"/>
          <w:color w:val="333333"/>
          <w:kern w:val="0"/>
          <w:sz w:val="32"/>
          <w:szCs w:val="32"/>
          <w:shd w:val="clear" w:color="auto" w:fill="FFFFFF"/>
        </w:rPr>
        <w:t>　　（二）</w:t>
      </w:r>
      <w:r>
        <w:rPr>
          <w:rFonts w:hint="eastAsia" w:ascii="仿宋_GB2312" w:hAnsi="宋体" w:eastAsia="仿宋_GB2312"/>
          <w:color w:val="333333"/>
          <w:kern w:val="0"/>
          <w:sz w:val="32"/>
          <w:szCs w:val="32"/>
        </w:rPr>
        <w:t>公共安全（类）法院（款）行政运行</w:t>
      </w:r>
      <w:r>
        <w:rPr>
          <w:rFonts w:hint="eastAsia" w:ascii="仿宋_GB2312" w:hAnsi="宋体" w:eastAsia="仿宋_GB2312"/>
          <w:color w:val="333333"/>
          <w:kern w:val="0"/>
          <w:sz w:val="32"/>
          <w:szCs w:val="32"/>
          <w:shd w:val="clear" w:color="auto" w:fill="FFFFFF"/>
        </w:rPr>
        <w:t>（项）：指人民法院用于保障机构正常运行、开展日常工作的基本支出。</w:t>
      </w:r>
      <w:r>
        <w:rPr>
          <w:rFonts w:ascii="仿宋_GB2312" w:hAnsi="Times New Roman" w:eastAsia="仿宋_GB2312"/>
          <w:color w:val="333333"/>
          <w:kern w:val="0"/>
          <w:sz w:val="32"/>
          <w:szCs w:val="32"/>
          <w:shd w:val="clear" w:color="auto" w:fill="FFFFFF"/>
        </w:rPr>
        <w:br w:type="textWrapping"/>
      </w:r>
      <w:r>
        <w:rPr>
          <w:rFonts w:hint="eastAsia" w:ascii="仿宋_GB2312" w:hAnsi="宋体" w:eastAsia="仿宋_GB2312"/>
          <w:color w:val="333333"/>
          <w:kern w:val="0"/>
          <w:sz w:val="32"/>
          <w:szCs w:val="32"/>
          <w:shd w:val="clear" w:color="auto" w:fill="FFFFFF"/>
        </w:rPr>
        <w:t>　　（三）</w:t>
      </w:r>
      <w:r>
        <w:rPr>
          <w:rFonts w:hint="eastAsia" w:ascii="仿宋_GB2312" w:hAnsi="宋体" w:eastAsia="仿宋_GB2312"/>
          <w:color w:val="333333"/>
          <w:kern w:val="0"/>
          <w:sz w:val="32"/>
          <w:szCs w:val="32"/>
        </w:rPr>
        <w:t>公共安全（类）法院（款）</w:t>
      </w:r>
      <w:r>
        <w:rPr>
          <w:rFonts w:ascii="Times New Roman" w:hAnsi="Times New Roman" w:eastAsia="仿宋_GB2312"/>
          <w:color w:val="333333"/>
          <w:kern w:val="0"/>
          <w:sz w:val="32"/>
          <w:szCs w:val="32"/>
        </w:rPr>
        <w:t> </w:t>
      </w:r>
      <w:r>
        <w:rPr>
          <w:rFonts w:hint="eastAsia" w:ascii="仿宋_GB2312" w:hAnsi="宋体" w:eastAsia="仿宋_GB2312"/>
          <w:color w:val="333333"/>
          <w:kern w:val="0"/>
          <w:sz w:val="32"/>
          <w:szCs w:val="32"/>
        </w:rPr>
        <w:t>一般行政管理事务</w:t>
      </w:r>
      <w:r>
        <w:rPr>
          <w:rFonts w:hint="eastAsia" w:ascii="仿宋_GB2312" w:hAnsi="宋体" w:eastAsia="仿宋_GB2312"/>
          <w:color w:val="333333"/>
          <w:kern w:val="0"/>
          <w:sz w:val="32"/>
          <w:szCs w:val="32"/>
          <w:shd w:val="clear" w:color="auto" w:fill="FFFFFF"/>
        </w:rPr>
        <w:t>（项）：指人民法院用于未单独设立项级科目的其他项目支出。</w:t>
      </w:r>
      <w:r>
        <w:rPr>
          <w:rFonts w:ascii="仿宋_GB2312" w:hAnsi="Times New Roman" w:eastAsia="仿宋_GB2312"/>
          <w:color w:val="333333"/>
          <w:kern w:val="0"/>
          <w:sz w:val="32"/>
          <w:szCs w:val="32"/>
          <w:shd w:val="clear" w:color="auto" w:fill="FFFFFF"/>
        </w:rPr>
        <w:br w:type="textWrapping"/>
      </w:r>
      <w:r>
        <w:rPr>
          <w:rFonts w:hint="eastAsia" w:ascii="仿宋_GB2312" w:hAnsi="宋体" w:eastAsia="仿宋_GB2312"/>
          <w:color w:val="333333"/>
          <w:kern w:val="0"/>
          <w:sz w:val="32"/>
          <w:szCs w:val="32"/>
          <w:shd w:val="clear" w:color="auto" w:fill="FFFFFF"/>
        </w:rPr>
        <w:t>　　（四）社会保障和就业（类）行政事业单位养老支出（款）机关事业单位基本养老保险缴费支出（项）：指部门实施养老保险制度由单位缴纳的养老保险的支出。</w:t>
      </w:r>
    </w:p>
    <w:p>
      <w:pPr>
        <w:widowControl/>
        <w:pBdr>
          <w:bottom w:val="single" w:color="FFFFFF" w:sz="8" w:space="31"/>
        </w:pBdr>
        <w:shd w:val="clear" w:color="auto"/>
        <w:adjustRightInd w:val="0"/>
        <w:snapToGrid w:val="0"/>
        <w:spacing w:line="360" w:lineRule="auto"/>
        <w:ind w:firstLine="640" w:firstLineChars="200"/>
        <w:rPr>
          <w:rFonts w:ascii="仿宋_GB2312" w:hAnsi="Times New Roman" w:eastAsia="仿宋_GB2312"/>
          <w:color w:val="333333"/>
          <w:kern w:val="0"/>
          <w:sz w:val="32"/>
          <w:szCs w:val="32"/>
          <w:shd w:val="clear" w:color="auto" w:fill="FFFFFF"/>
        </w:rPr>
      </w:pPr>
      <w:r>
        <w:rPr>
          <w:rFonts w:hint="eastAsia" w:ascii="仿宋_GB2312" w:hAnsi="宋体" w:eastAsia="仿宋_GB2312"/>
          <w:color w:val="333333"/>
          <w:kern w:val="0"/>
          <w:sz w:val="32"/>
          <w:szCs w:val="32"/>
          <w:shd w:val="clear" w:color="auto" w:fill="FFFFFF"/>
        </w:rPr>
        <w:t>（五）卫生健康（类）行政事业单位医疗（款）行政单位医疗（项）：指机关及参公管理事业单位用于单位应缴纳基本医疗保险支出。</w:t>
      </w:r>
      <w:r>
        <w:rPr>
          <w:rFonts w:ascii="仿宋_GB2312" w:hAnsi="Times New Roman" w:eastAsia="仿宋_GB2312"/>
          <w:color w:val="333333"/>
          <w:kern w:val="0"/>
          <w:sz w:val="32"/>
          <w:szCs w:val="32"/>
          <w:shd w:val="clear" w:color="auto" w:fill="FFFFFF"/>
        </w:rPr>
        <w:br w:type="textWrapping"/>
      </w:r>
      <w:r>
        <w:rPr>
          <w:rFonts w:hint="eastAsia" w:ascii="仿宋_GB2312" w:hAnsi="宋体" w:eastAsia="仿宋_GB2312"/>
          <w:color w:val="333333"/>
          <w:kern w:val="0"/>
          <w:sz w:val="32"/>
          <w:szCs w:val="32"/>
          <w:shd w:val="clear" w:color="auto" w:fill="FFFFFF"/>
        </w:rPr>
        <w:t>　　（六）住房保障（类）住房改革支出（款）住房公积金（项）：指按照《住房公积金管理条例》的规定，由单位及其在职职工缴存的长期住房储金。</w:t>
      </w:r>
    </w:p>
    <w:p>
      <w:pPr>
        <w:widowControl/>
        <w:pBdr>
          <w:bottom w:val="single" w:color="FFFFFF" w:sz="8" w:space="31"/>
        </w:pBdr>
        <w:shd w:val="clear" w:color="auto"/>
        <w:adjustRightInd w:val="0"/>
        <w:snapToGrid w:val="0"/>
        <w:spacing w:line="360" w:lineRule="auto"/>
        <w:ind w:firstLine="640" w:firstLineChars="200"/>
        <w:rPr>
          <w:rFonts w:ascii="仿宋_GB2312" w:hAnsi="Times New Roman" w:eastAsia="仿宋_GB2312"/>
          <w:color w:val="333333"/>
          <w:kern w:val="0"/>
          <w:sz w:val="32"/>
          <w:szCs w:val="32"/>
          <w:shd w:val="clear" w:color="auto" w:fill="FFFFFF"/>
        </w:rPr>
      </w:pPr>
      <w:r>
        <w:rPr>
          <w:rFonts w:hint="eastAsia" w:ascii="仿宋_GB2312" w:hAnsi="Times New Roman" w:eastAsia="仿宋_GB2312"/>
          <w:color w:val="333333"/>
          <w:kern w:val="0"/>
          <w:sz w:val="32"/>
          <w:szCs w:val="32"/>
          <w:shd w:val="clear" w:color="auto" w:fill="FFFFFF"/>
        </w:rPr>
        <w:t>（七）基本支出：指为保证机构正常运转，完成日常工作任务而发生的人员支出和公用支出。</w:t>
      </w:r>
      <w:r>
        <w:rPr>
          <w:rFonts w:ascii="仿宋_GB2312" w:hAnsi="Times New Roman" w:eastAsia="仿宋_GB2312"/>
          <w:color w:val="333333"/>
          <w:kern w:val="0"/>
          <w:sz w:val="32"/>
          <w:szCs w:val="32"/>
          <w:shd w:val="clear" w:color="auto" w:fill="FFFFFF"/>
        </w:rPr>
        <w:br w:type="textWrapping"/>
      </w:r>
      <w:r>
        <w:rPr>
          <w:rFonts w:hint="eastAsia" w:ascii="仿宋_GB2312" w:hAnsi="Times New Roman" w:eastAsia="仿宋_GB2312"/>
          <w:color w:val="333333"/>
          <w:kern w:val="0"/>
          <w:sz w:val="32"/>
          <w:szCs w:val="32"/>
          <w:shd w:val="clear" w:color="auto" w:fill="FFFFFF"/>
        </w:rPr>
        <w:t>　　（八）项目支出：指在基本支出之外为完成特定行政任务和事业发展目标所发生的支出。</w:t>
      </w:r>
    </w:p>
    <w:p>
      <w:pPr>
        <w:widowControl/>
        <w:pBdr>
          <w:bottom w:val="single" w:color="FFFFFF" w:sz="8" w:space="31"/>
        </w:pBdr>
        <w:shd w:val="clear" w:color="auto"/>
        <w:adjustRightInd w:val="0"/>
        <w:snapToGrid w:val="0"/>
        <w:spacing w:line="360" w:lineRule="auto"/>
        <w:ind w:firstLine="640" w:firstLineChars="200"/>
        <w:rPr>
          <w:rFonts w:ascii="仿宋_GB2312" w:hAnsi="Times New Roman" w:eastAsia="仿宋_GB2312"/>
          <w:color w:val="333333"/>
          <w:kern w:val="0"/>
          <w:sz w:val="32"/>
          <w:szCs w:val="32"/>
          <w:shd w:val="clear" w:color="auto" w:fill="FFFFFF"/>
        </w:rPr>
      </w:pPr>
      <w:r>
        <w:rPr>
          <w:rFonts w:hint="eastAsia" w:ascii="仿宋_GB2312" w:hAnsi="Times New Roman" w:eastAsia="仿宋_GB2312"/>
          <w:color w:val="333333"/>
          <w:kern w:val="0"/>
          <w:sz w:val="32"/>
          <w:szCs w:val="32"/>
          <w:shd w:val="clear" w:color="auto" w:fill="FFFFFF"/>
        </w:rPr>
        <w:t>（九）“三公”经费：</w:t>
      </w:r>
      <w:r>
        <w:rPr>
          <w:rFonts w:hint="eastAsia" w:ascii="Times New Roman" w:hAnsi="仿宋_GB2312" w:eastAsia="仿宋_GB2312"/>
          <w:sz w:val="32"/>
          <w:szCs w:val="32"/>
        </w:rPr>
        <w:t>纳入市级财政预算管理的</w:t>
      </w:r>
      <w:r>
        <w:rPr>
          <w:rFonts w:ascii="Times New Roman" w:hAnsi="Times New Roman" w:eastAsia="仿宋_GB2312"/>
          <w:sz w:val="32"/>
          <w:szCs w:val="32"/>
        </w:rPr>
        <w:t>“</w:t>
      </w:r>
      <w:r>
        <w:rPr>
          <w:rFonts w:hint="eastAsia" w:ascii="Times New Roman" w:hAnsi="仿宋_GB2312" w:eastAsia="仿宋_GB2312"/>
          <w:sz w:val="32"/>
          <w:szCs w:val="32"/>
        </w:rPr>
        <w:t>三公</w:t>
      </w:r>
      <w:r>
        <w:rPr>
          <w:rFonts w:ascii="Times New Roman" w:hAnsi="Times New Roman" w:eastAsia="仿宋_GB2312"/>
          <w:sz w:val="32"/>
          <w:szCs w:val="32"/>
        </w:rPr>
        <w:t>”</w:t>
      </w:r>
      <w:r>
        <w:rPr>
          <w:rFonts w:hint="eastAsia" w:ascii="Times New Roman" w:hAnsi="仿宋_GB2312" w:eastAsia="仿宋_GB2312"/>
          <w:sz w:val="32"/>
          <w:szCs w:val="32"/>
        </w:rPr>
        <w:t>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仿宋_GB2312" w:hAnsi="Times New Roman" w:eastAsia="仿宋_GB2312"/>
          <w:color w:val="333333"/>
          <w:kern w:val="0"/>
          <w:sz w:val="32"/>
          <w:szCs w:val="32"/>
          <w:shd w:val="clear" w:color="auto" w:fill="FFFFFF"/>
        </w:rPr>
        <w:br w:type="textWrapping"/>
      </w:r>
      <w:r>
        <w:rPr>
          <w:rFonts w:hint="eastAsia" w:ascii="仿宋_GB2312" w:hAnsi="Times New Roman" w:eastAsia="仿宋_GB2312"/>
          <w:color w:val="333333"/>
          <w:kern w:val="0"/>
          <w:sz w:val="32"/>
          <w:szCs w:val="32"/>
          <w:shd w:val="clear" w:color="auto" w:fill="FFFFFF"/>
        </w:rPr>
        <w:t>　　（十）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hd w:val="clear"/>
        <w:spacing w:line="576" w:lineRule="exact"/>
        <w:ind w:firstLine="640" w:firstLineChars="200"/>
        <w:rPr>
          <w:rFonts w:ascii="Times New Roman" w:hAnsi="Times New Roman" w:eastAsia="仿宋_GB2312"/>
          <w:sz w:val="32"/>
          <w:szCs w:val="32"/>
        </w:rPr>
      </w:pPr>
      <w:r>
        <w:rPr>
          <w:rFonts w:hint="eastAsia" w:ascii="Times New Roman" w:hAnsi="仿宋_GB2312" w:eastAsia="仿宋_GB2312"/>
          <w:sz w:val="32"/>
          <w:szCs w:val="32"/>
        </w:rPr>
        <w:t>附件：部门预算公开表</w:t>
      </w:r>
    </w:p>
    <w:p>
      <w:pPr>
        <w:shd w:val="clear"/>
        <w:spacing w:line="576" w:lineRule="exact"/>
        <w:rPr>
          <w:rFonts w:ascii="Times New Roman" w:hAnsi="Times New Roman" w:eastAsia="仿宋_GB2312"/>
          <w:sz w:val="32"/>
          <w:szCs w:val="32"/>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8E0D77-904F-4D8D-939C-00C5146350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2" w:fontKey="{00F9EA0B-317C-4B9B-8709-C08EE883883E}"/>
  </w:font>
  <w:font w:name="Liberation Sans">
    <w:altName w:val="Arial"/>
    <w:panose1 w:val="00000000000000000000"/>
    <w:charset w:val="00"/>
    <w:family w:val="swiss"/>
    <w:pitch w:val="default"/>
    <w:sig w:usb0="00000000" w:usb1="00000000" w:usb2="00000000" w:usb3="00000000" w:csb0="00000001" w:csb1="00000000"/>
  </w:font>
  <w:font w:name="Noto Sans CJK SC Regular">
    <w:altName w:val="宋体"/>
    <w:panose1 w:val="00000000000000000000"/>
    <w:charset w:val="86"/>
    <w:family w:val="auto"/>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3" w:fontKey="{F2531304-C010-44DF-8B80-980EE0EFE869}"/>
  </w:font>
  <w:font w:name="楷体_GB2312">
    <w:altName w:val="楷体"/>
    <w:panose1 w:val="02010609030101010101"/>
    <w:charset w:val="86"/>
    <w:family w:val="modern"/>
    <w:pitch w:val="default"/>
    <w:sig w:usb0="00000000" w:usb1="00000000" w:usb2="00000010" w:usb3="00000000" w:csb0="00040000" w:csb1="00000000"/>
    <w:embedRegular r:id="rId4" w:fontKey="{8C8F3E25-BC74-4A55-BDC7-E3D3C6429E6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rPr>
                    <w:rFonts w:asci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10</w:t>
                </w:r>
                <w:r>
                  <w:rPr>
                    <w:rFonts w:ascii="宋体" w:hAnsi="宋体" w:cs="宋体"/>
                    <w:sz w:val="28"/>
                    <w:szCs w:val="28"/>
                  </w:rPr>
                  <w:fldChar w:fldCharType="end"/>
                </w:r>
                <w:r>
                  <w:rPr>
                    <w:rFonts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2ZGZiNzZiNDVlOGViOWVmM2JhOTY0NGJkNjUyYzgifQ=="/>
  </w:docVars>
  <w:rsids>
    <w:rsidRoot w:val="00A01BED"/>
    <w:rsid w:val="000B4250"/>
    <w:rsid w:val="00100973"/>
    <w:rsid w:val="001146B6"/>
    <w:rsid w:val="00162EE0"/>
    <w:rsid w:val="00164E5E"/>
    <w:rsid w:val="00197903"/>
    <w:rsid w:val="001A5C77"/>
    <w:rsid w:val="002277B8"/>
    <w:rsid w:val="00366A56"/>
    <w:rsid w:val="003E20B1"/>
    <w:rsid w:val="00426060"/>
    <w:rsid w:val="00467424"/>
    <w:rsid w:val="00514492"/>
    <w:rsid w:val="005743A0"/>
    <w:rsid w:val="005B40EB"/>
    <w:rsid w:val="00706FD7"/>
    <w:rsid w:val="00744074"/>
    <w:rsid w:val="007630F1"/>
    <w:rsid w:val="007F1939"/>
    <w:rsid w:val="008417BD"/>
    <w:rsid w:val="00844790"/>
    <w:rsid w:val="009825B2"/>
    <w:rsid w:val="00A01BED"/>
    <w:rsid w:val="00AE68BA"/>
    <w:rsid w:val="00B007BA"/>
    <w:rsid w:val="00B769D2"/>
    <w:rsid w:val="00BB2A8D"/>
    <w:rsid w:val="00BB4E99"/>
    <w:rsid w:val="00CB05FA"/>
    <w:rsid w:val="00D638C2"/>
    <w:rsid w:val="00E35905"/>
    <w:rsid w:val="00E71558"/>
    <w:rsid w:val="00F72292"/>
    <w:rsid w:val="00F94360"/>
    <w:rsid w:val="00FD32FF"/>
    <w:rsid w:val="00FE1049"/>
    <w:rsid w:val="012352D1"/>
    <w:rsid w:val="09EB31F3"/>
    <w:rsid w:val="17F481FA"/>
    <w:rsid w:val="1F7BF06F"/>
    <w:rsid w:val="1FEE4B73"/>
    <w:rsid w:val="23CE9849"/>
    <w:rsid w:val="39F304DD"/>
    <w:rsid w:val="3AFF17F6"/>
    <w:rsid w:val="4EDDC789"/>
    <w:rsid w:val="54244390"/>
    <w:rsid w:val="54662A63"/>
    <w:rsid w:val="58064E12"/>
    <w:rsid w:val="5BFEE015"/>
    <w:rsid w:val="63EDCF55"/>
    <w:rsid w:val="63FBFBCF"/>
    <w:rsid w:val="669360FD"/>
    <w:rsid w:val="68FF6A83"/>
    <w:rsid w:val="6FBBC9CF"/>
    <w:rsid w:val="72BDE561"/>
    <w:rsid w:val="78462278"/>
    <w:rsid w:val="7997EA6C"/>
    <w:rsid w:val="79C225D2"/>
    <w:rsid w:val="7AEAE675"/>
    <w:rsid w:val="7BAFCE5D"/>
    <w:rsid w:val="7D46598C"/>
    <w:rsid w:val="7DFB240B"/>
    <w:rsid w:val="7E0935ED"/>
    <w:rsid w:val="7EBE0080"/>
    <w:rsid w:val="7FCF2AF7"/>
    <w:rsid w:val="7FFB673D"/>
    <w:rsid w:val="9FEF033D"/>
    <w:rsid w:val="A27FF1E5"/>
    <w:rsid w:val="AFDEB5A7"/>
    <w:rsid w:val="AFEA7FBF"/>
    <w:rsid w:val="B83F4767"/>
    <w:rsid w:val="BF930F07"/>
    <w:rsid w:val="BFCE8436"/>
    <w:rsid w:val="C3F7EB7A"/>
    <w:rsid w:val="CFF5FEEC"/>
    <w:rsid w:val="D3DD9064"/>
    <w:rsid w:val="D6F76A0C"/>
    <w:rsid w:val="D7ECE8D2"/>
    <w:rsid w:val="DDF7D66F"/>
    <w:rsid w:val="DFDD4FB5"/>
    <w:rsid w:val="E7F748B5"/>
    <w:rsid w:val="EE5F3713"/>
    <w:rsid w:val="EFC9D62C"/>
    <w:rsid w:val="F3E6E3AC"/>
    <w:rsid w:val="F6BE9755"/>
    <w:rsid w:val="F6FFA89B"/>
    <w:rsid w:val="F9D7660B"/>
    <w:rsid w:val="FAE4EFE1"/>
    <w:rsid w:val="FB9B6F12"/>
    <w:rsid w:val="FBB66A4A"/>
    <w:rsid w:val="FDEE6989"/>
    <w:rsid w:val="FF37B075"/>
    <w:rsid w:val="FF5E7DB8"/>
    <w:rsid w:val="FF77E367"/>
    <w:rsid w:val="FFD576EB"/>
    <w:rsid w:val="FFDB29A7"/>
    <w:rsid w:val="FFFBE8B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99"/>
    <w:pPr>
      <w:suppressLineNumbers/>
      <w:spacing w:before="120" w:after="120"/>
    </w:pPr>
    <w:rPr>
      <w:i/>
      <w:iCs/>
      <w:sz w:val="24"/>
    </w:rPr>
  </w:style>
  <w:style w:type="paragraph" w:styleId="3">
    <w:name w:val="Body Text"/>
    <w:basedOn w:val="1"/>
    <w:link w:val="10"/>
    <w:qFormat/>
    <w:uiPriority w:val="99"/>
    <w:pPr>
      <w:spacing w:after="140" w:line="276" w:lineRule="auto"/>
    </w:p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99"/>
  </w:style>
  <w:style w:type="paragraph" w:styleId="7">
    <w:name w:val="Normal (Web)"/>
    <w:basedOn w:val="1"/>
    <w:qFormat/>
    <w:uiPriority w:val="99"/>
    <w:rPr>
      <w:sz w:val="24"/>
    </w:rPr>
  </w:style>
  <w:style w:type="character" w:customStyle="1" w:styleId="10">
    <w:name w:val="Body Text Char"/>
    <w:basedOn w:val="9"/>
    <w:link w:val="3"/>
    <w:semiHidden/>
    <w:qFormat/>
    <w:locked/>
    <w:uiPriority w:val="99"/>
    <w:rPr>
      <w:rFonts w:ascii="Calibri" w:hAnsi="Calibri" w:cs="Times New Roman"/>
      <w:sz w:val="24"/>
      <w:szCs w:val="24"/>
    </w:rPr>
  </w:style>
  <w:style w:type="character" w:customStyle="1" w:styleId="11">
    <w:name w:val="Footer Char"/>
    <w:basedOn w:val="9"/>
    <w:link w:val="4"/>
    <w:autoRedefine/>
    <w:semiHidden/>
    <w:qFormat/>
    <w:locked/>
    <w:uiPriority w:val="99"/>
    <w:rPr>
      <w:rFonts w:ascii="Calibri" w:hAnsi="Calibri" w:cs="Times New Roman"/>
      <w:sz w:val="18"/>
      <w:szCs w:val="18"/>
    </w:rPr>
  </w:style>
  <w:style w:type="character" w:customStyle="1" w:styleId="12">
    <w:name w:val="Header Char"/>
    <w:basedOn w:val="9"/>
    <w:link w:val="5"/>
    <w:autoRedefine/>
    <w:semiHidden/>
    <w:qFormat/>
    <w:locked/>
    <w:uiPriority w:val="99"/>
    <w:rPr>
      <w:rFonts w:ascii="Calibri" w:hAnsi="Calibri" w:cs="Times New Roman"/>
      <w:sz w:val="18"/>
      <w:szCs w:val="18"/>
    </w:rPr>
  </w:style>
  <w:style w:type="character" w:customStyle="1" w:styleId="13">
    <w:name w:val="默认段落字体1"/>
    <w:qFormat/>
    <w:uiPriority w:val="99"/>
  </w:style>
  <w:style w:type="paragraph" w:customStyle="1" w:styleId="14">
    <w:name w:val="Heading"/>
    <w:basedOn w:val="1"/>
    <w:next w:val="3"/>
    <w:qFormat/>
    <w:uiPriority w:val="99"/>
    <w:pPr>
      <w:keepNext/>
      <w:spacing w:before="240" w:after="120"/>
    </w:pPr>
    <w:rPr>
      <w:rFonts w:ascii="Liberation Sans" w:hAnsi="Liberation Sans" w:eastAsia="Noto Sans CJK SC Regular" w:cs="Noto Sans CJK SC Regular"/>
      <w:sz w:val="28"/>
      <w:szCs w:val="28"/>
    </w:rPr>
  </w:style>
  <w:style w:type="paragraph" w:customStyle="1" w:styleId="15">
    <w:name w:val="Index"/>
    <w:basedOn w:val="1"/>
    <w:uiPriority w:val="99"/>
    <w:pPr>
      <w:suppressLineNumbers/>
    </w:pPr>
  </w:style>
  <w:style w:type="paragraph" w:customStyle="1" w:styleId="16">
    <w:name w:val="正-文"/>
    <w:basedOn w:val="1"/>
    <w:link w:val="17"/>
    <w:qFormat/>
    <w:uiPriority w:val="99"/>
    <w:pPr>
      <w:suppressAutoHyphens w:val="0"/>
      <w:spacing w:line="560" w:lineRule="exact"/>
      <w:ind w:firstLine="640" w:firstLineChars="200"/>
    </w:pPr>
    <w:rPr>
      <w:rFonts w:ascii="Times New Roman" w:hAnsi="Times New Roman" w:cs="黑体"/>
      <w:sz w:val="32"/>
      <w:szCs w:val="32"/>
    </w:rPr>
  </w:style>
  <w:style w:type="character" w:customStyle="1" w:styleId="17">
    <w:name w:val="正-文 字符"/>
    <w:basedOn w:val="9"/>
    <w:link w:val="16"/>
    <w:qFormat/>
    <w:locked/>
    <w:uiPriority w:val="99"/>
    <w:rPr>
      <w:rFonts w:eastAsia="Times New Roman" w:cs="黑体"/>
      <w:kern w:val="2"/>
      <w:sz w:val="32"/>
      <w:szCs w:val="32"/>
      <w:lang w:val="en-US" w:eastAsia="zh-CN" w:bidi="ar-SA"/>
    </w:rPr>
  </w:style>
  <w:style w:type="paragraph" w:customStyle="1" w:styleId="18">
    <w:name w:val="WPSOffice手动目录 1"/>
    <w:uiPriority w:val="0"/>
    <w:pPr>
      <w:ind w:leftChars="0"/>
    </w:pPr>
    <w:rPr>
      <w:sz w:val="20"/>
      <w:szCs w:val="20"/>
    </w:rPr>
  </w:style>
  <w:style w:type="paragraph" w:customStyle="1" w:styleId="19">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861</Words>
  <Characters>4911</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2024-02-02T01:31:00Z</dcterms:created>
  <dc:creator>admin</dc:creator>
  <cp:lastModifiedBy>玖千余为春秋</cp:lastModifiedBy>
  <dcterms:modified xsi:type="dcterms:W3CDTF">2024-02-04T06:49:56Z</dcterms:modified>
  <dc:title>旺苍县人民法院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96081F72B7444D3C8C1C7DDAED24732C_13</vt:lpwstr>
  </property>
</Properties>
</file>